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6E5BA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b/>
          <w:color w:val="auto"/>
          <w:sz w:val="44"/>
          <w:szCs w:val="44"/>
          <w:lang w:val="en-US" w:eastAsia="zh-CN"/>
        </w:rPr>
      </w:pPr>
    </w:p>
    <w:p w14:paraId="362B2D2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b/>
          <w:color w:val="auto"/>
          <w:sz w:val="44"/>
          <w:szCs w:val="44"/>
          <w:lang w:val="en-US" w:eastAsia="zh-CN"/>
        </w:rPr>
      </w:pPr>
    </w:p>
    <w:p w14:paraId="74EB56C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color w:val="auto"/>
          <w:sz w:val="44"/>
          <w:szCs w:val="44"/>
        </w:rPr>
      </w:pPr>
    </w:p>
    <w:p w14:paraId="7C6BCE8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color w:val="auto"/>
          <w:sz w:val="52"/>
          <w:szCs w:val="52"/>
        </w:rPr>
      </w:pPr>
      <w:r>
        <w:rPr>
          <w:rFonts w:hint="eastAsia"/>
          <w:b/>
          <w:color w:val="auto"/>
          <w:sz w:val="52"/>
          <w:szCs w:val="52"/>
        </w:rPr>
        <w:t>江西省宜丰万国矿业有限公司</w:t>
      </w:r>
    </w:p>
    <w:p w14:paraId="544505E6">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color w:val="auto"/>
          <w:sz w:val="52"/>
          <w:szCs w:val="52"/>
          <w:lang w:val="en-US" w:eastAsia="zh-CN"/>
        </w:rPr>
      </w:pPr>
      <w:r>
        <w:rPr>
          <w:rFonts w:hint="eastAsia"/>
          <w:b/>
          <w:color w:val="auto"/>
          <w:sz w:val="52"/>
          <w:szCs w:val="52"/>
          <w:lang w:val="en-US" w:eastAsia="zh-CN"/>
        </w:rPr>
        <w:t>铜铁选矿厂技改工程</w:t>
      </w:r>
    </w:p>
    <w:p w14:paraId="01D3436A">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color w:val="auto"/>
          <w:sz w:val="52"/>
          <w:szCs w:val="52"/>
          <w:lang w:eastAsia="zh-CN"/>
        </w:rPr>
      </w:pPr>
      <w:r>
        <w:rPr>
          <w:rFonts w:hint="eastAsia"/>
          <w:b/>
          <w:color w:val="auto"/>
          <w:sz w:val="52"/>
          <w:szCs w:val="52"/>
          <w:lang w:val="en-US" w:eastAsia="zh-CN"/>
        </w:rPr>
        <w:t>（</w:t>
      </w:r>
      <w:r>
        <w:rPr>
          <w:rFonts w:hint="eastAsia"/>
          <w:b/>
          <w:color w:val="auto"/>
          <w:sz w:val="52"/>
          <w:szCs w:val="52"/>
        </w:rPr>
        <w:t>新建内部加油站项目</w:t>
      </w:r>
      <w:r>
        <w:rPr>
          <w:rFonts w:hint="eastAsia"/>
          <w:b/>
          <w:color w:val="auto"/>
          <w:sz w:val="52"/>
          <w:szCs w:val="52"/>
          <w:lang w:eastAsia="zh-CN"/>
        </w:rPr>
        <w:t>）</w:t>
      </w:r>
    </w:p>
    <w:p w14:paraId="652EABA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eastAsia="黑体"/>
          <w:b/>
          <w:color w:val="auto"/>
          <w:sz w:val="52"/>
          <w:szCs w:val="52"/>
        </w:rPr>
      </w:pPr>
      <w:r>
        <w:rPr>
          <w:rFonts w:hint="eastAsia" w:eastAsia="黑体"/>
          <w:b/>
          <w:color w:val="auto"/>
          <w:sz w:val="52"/>
          <w:szCs w:val="52"/>
        </w:rPr>
        <w:t>安全验收评价报告</w:t>
      </w:r>
    </w:p>
    <w:p w14:paraId="579F55CB">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黑体"/>
          <w:b/>
          <w:color w:val="auto"/>
          <w:sz w:val="44"/>
          <w:szCs w:val="44"/>
        </w:rPr>
      </w:pPr>
      <w:r>
        <w:rPr>
          <w:rFonts w:hint="eastAsia" w:eastAsia="黑体"/>
          <w:b/>
          <w:color w:val="auto"/>
          <w:sz w:val="44"/>
          <w:szCs w:val="44"/>
        </w:rPr>
        <w:t>（</w:t>
      </w:r>
      <w:r>
        <w:rPr>
          <w:rFonts w:hint="eastAsia" w:eastAsia="黑体"/>
          <w:b/>
          <w:color w:val="auto"/>
          <w:sz w:val="44"/>
          <w:szCs w:val="44"/>
          <w:lang w:val="en-US" w:eastAsia="zh-CN"/>
        </w:rPr>
        <w:t>终稿</w:t>
      </w:r>
      <w:r>
        <w:rPr>
          <w:rFonts w:hint="eastAsia" w:eastAsia="黑体"/>
          <w:b/>
          <w:color w:val="auto"/>
          <w:sz w:val="44"/>
          <w:szCs w:val="44"/>
        </w:rPr>
        <w:t>）</w:t>
      </w:r>
    </w:p>
    <w:p w14:paraId="2761FE67">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黑体"/>
          <w:b/>
          <w:color w:val="auto"/>
          <w:sz w:val="52"/>
          <w:szCs w:val="52"/>
        </w:rPr>
      </w:pPr>
    </w:p>
    <w:p w14:paraId="5178D5F0">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黑体"/>
          <w:b/>
          <w:color w:val="auto"/>
          <w:sz w:val="52"/>
          <w:szCs w:val="52"/>
        </w:rPr>
      </w:pPr>
    </w:p>
    <w:p w14:paraId="2A0EF81F">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eastAsia="黑体"/>
          <w:b/>
          <w:color w:val="auto"/>
          <w:sz w:val="52"/>
          <w:szCs w:val="52"/>
        </w:rPr>
      </w:pPr>
    </w:p>
    <w:p w14:paraId="41D7CDED">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bCs/>
          <w:color w:val="auto"/>
          <w:sz w:val="44"/>
        </w:rPr>
      </w:pPr>
    </w:p>
    <w:p w14:paraId="539E5479">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bCs/>
          <w:color w:val="auto"/>
          <w:sz w:val="44"/>
        </w:rPr>
      </w:pPr>
    </w:p>
    <w:p w14:paraId="0F2AADD7">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b/>
          <w:bCs/>
          <w:color w:val="auto"/>
          <w:sz w:val="44"/>
        </w:rPr>
      </w:pPr>
      <w:r>
        <w:rPr>
          <w:b/>
          <w:bCs/>
          <w:color w:val="auto"/>
          <w:sz w:val="44"/>
        </w:rPr>
        <w:t>江西赣安安全生产科学技术咨询服务中心</w:t>
      </w:r>
    </w:p>
    <w:p w14:paraId="0DEE1DAC">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bCs/>
          <w:color w:val="auto"/>
          <w:sz w:val="32"/>
        </w:rPr>
      </w:pPr>
      <w:r>
        <w:rPr>
          <w:rFonts w:hint="eastAsia"/>
          <w:b/>
          <w:bCs/>
          <w:color w:val="auto"/>
          <w:sz w:val="32"/>
        </w:rPr>
        <w:t>资质证书编号：</w:t>
      </w:r>
      <w:r>
        <w:rPr>
          <w:b/>
          <w:bCs/>
          <w:color w:val="auto"/>
          <w:sz w:val="32"/>
        </w:rPr>
        <w:t>APJ</w:t>
      </w:r>
      <w:r>
        <w:rPr>
          <w:rFonts w:hint="eastAsia"/>
          <w:b/>
          <w:bCs/>
          <w:color w:val="auto"/>
          <w:sz w:val="32"/>
        </w:rPr>
        <w:t>-（赣）-002</w:t>
      </w:r>
    </w:p>
    <w:p w14:paraId="0A5A6D96">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bCs/>
          <w:color w:val="0000FF"/>
          <w:sz w:val="32"/>
        </w:rPr>
      </w:pPr>
      <w:r>
        <w:rPr>
          <w:rFonts w:hint="eastAsia" w:hAnsi="宋体"/>
          <w:b/>
          <w:bCs/>
          <w:color w:val="auto"/>
          <w:sz w:val="32"/>
        </w:rPr>
        <w:t>202</w:t>
      </w:r>
      <w:r>
        <w:rPr>
          <w:rFonts w:hint="eastAsia" w:hAnsi="宋体"/>
          <w:b/>
          <w:bCs/>
          <w:color w:val="auto"/>
          <w:sz w:val="32"/>
          <w:lang w:val="en-US" w:eastAsia="zh-CN"/>
        </w:rPr>
        <w:t>5</w:t>
      </w:r>
      <w:r>
        <w:rPr>
          <w:rFonts w:hAnsi="宋体"/>
          <w:b/>
          <w:bCs/>
          <w:color w:val="auto"/>
          <w:sz w:val="32"/>
        </w:rPr>
        <w:t>年</w:t>
      </w:r>
      <w:r>
        <w:rPr>
          <w:rFonts w:hint="eastAsia" w:hAnsi="宋体"/>
          <w:b/>
          <w:bCs/>
          <w:color w:val="auto"/>
          <w:sz w:val="32"/>
          <w:lang w:val="en-US" w:eastAsia="zh-CN"/>
        </w:rPr>
        <w:t>12</w:t>
      </w:r>
      <w:r>
        <w:rPr>
          <w:rFonts w:hAnsi="宋体"/>
          <w:b/>
          <w:bCs/>
          <w:color w:val="auto"/>
          <w:sz w:val="32"/>
        </w:rPr>
        <w:t>月</w:t>
      </w:r>
      <w:r>
        <w:rPr>
          <w:rFonts w:hint="eastAsia" w:hAnsi="宋体"/>
          <w:b/>
          <w:bCs/>
          <w:color w:val="auto"/>
          <w:sz w:val="32"/>
          <w:lang w:val="en-US" w:eastAsia="zh-CN"/>
        </w:rPr>
        <w:t>05</w:t>
      </w:r>
      <w:r>
        <w:rPr>
          <w:rFonts w:hint="eastAsia" w:hAnsi="宋体"/>
          <w:b/>
          <w:bCs/>
          <w:color w:val="auto"/>
          <w:sz w:val="32"/>
        </w:rPr>
        <w:t>日</w:t>
      </w:r>
    </w:p>
    <w:p w14:paraId="30952803">
      <w:pPr>
        <w:spacing w:line="600" w:lineRule="exact"/>
        <w:jc w:val="center"/>
        <w:rPr>
          <w:b/>
          <w:color w:val="auto"/>
          <w:sz w:val="32"/>
          <w:szCs w:val="32"/>
        </w:rPr>
      </w:pPr>
    </w:p>
    <w:p w14:paraId="3A024034">
      <w:pPr>
        <w:spacing w:line="600" w:lineRule="exact"/>
        <w:jc w:val="center"/>
        <w:rPr>
          <w:b/>
          <w:color w:val="auto"/>
          <w:sz w:val="32"/>
          <w:szCs w:val="32"/>
        </w:rPr>
        <w:sectPr>
          <w:pgSz w:w="11906" w:h="16839"/>
          <w:pgMar w:top="1417" w:right="1417" w:bottom="1417" w:left="1417" w:header="850" w:footer="964" w:gutter="0"/>
          <w:cols w:space="425" w:num="1"/>
          <w:rtlGutter w:val="0"/>
          <w:docGrid w:linePitch="312" w:charSpace="0"/>
        </w:sectPr>
      </w:pPr>
    </w:p>
    <w:p w14:paraId="4A0F7EDA">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b/>
          <w:color w:val="auto"/>
          <w:sz w:val="32"/>
          <w:szCs w:val="32"/>
        </w:rPr>
      </w:pPr>
    </w:p>
    <w:p w14:paraId="439B32A8">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color w:val="auto"/>
          <w:sz w:val="32"/>
          <w:szCs w:val="32"/>
        </w:rPr>
      </w:pPr>
    </w:p>
    <w:p w14:paraId="4606063F">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color w:val="auto"/>
          <w:sz w:val="32"/>
          <w:szCs w:val="32"/>
        </w:rPr>
      </w:pPr>
    </w:p>
    <w:p w14:paraId="142D9CB8">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color w:val="auto"/>
          <w:sz w:val="36"/>
          <w:szCs w:val="36"/>
        </w:rPr>
      </w:pPr>
      <w:r>
        <w:rPr>
          <w:rFonts w:hint="eastAsia"/>
          <w:b/>
          <w:color w:val="auto"/>
          <w:sz w:val="36"/>
          <w:szCs w:val="36"/>
        </w:rPr>
        <w:t>江西省宜丰万国矿业有限公司</w:t>
      </w:r>
    </w:p>
    <w:p w14:paraId="0543ED3B">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color w:val="auto"/>
          <w:sz w:val="36"/>
          <w:szCs w:val="36"/>
        </w:rPr>
      </w:pPr>
      <w:r>
        <w:rPr>
          <w:rFonts w:hint="eastAsia"/>
          <w:b/>
          <w:color w:val="auto"/>
          <w:sz w:val="36"/>
          <w:szCs w:val="36"/>
        </w:rPr>
        <w:t>铜铁选矿厂技改工程</w:t>
      </w:r>
    </w:p>
    <w:p w14:paraId="481985DD">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b/>
          <w:color w:val="auto"/>
          <w:sz w:val="36"/>
          <w:szCs w:val="36"/>
        </w:rPr>
      </w:pPr>
      <w:r>
        <w:rPr>
          <w:rFonts w:hint="eastAsia"/>
          <w:b/>
          <w:color w:val="auto"/>
          <w:sz w:val="36"/>
          <w:szCs w:val="36"/>
        </w:rPr>
        <w:t>（新建内部加油站项目）</w:t>
      </w:r>
    </w:p>
    <w:p w14:paraId="333D3DB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b/>
          <w:color w:val="auto"/>
          <w:sz w:val="44"/>
          <w:szCs w:val="44"/>
        </w:rPr>
      </w:pPr>
      <w:r>
        <w:rPr>
          <w:rFonts w:hint="eastAsia"/>
          <w:b/>
          <w:color w:val="auto"/>
          <w:sz w:val="44"/>
          <w:szCs w:val="44"/>
        </w:rPr>
        <w:t>安全验收评价报告</w:t>
      </w:r>
    </w:p>
    <w:p w14:paraId="68670D1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黑体"/>
          <w:b/>
          <w:color w:val="auto"/>
          <w:sz w:val="44"/>
          <w:szCs w:val="44"/>
        </w:rPr>
      </w:pPr>
      <w:r>
        <w:rPr>
          <w:rFonts w:hint="eastAsia" w:eastAsia="黑体"/>
          <w:b/>
          <w:color w:val="auto"/>
          <w:sz w:val="44"/>
          <w:szCs w:val="44"/>
        </w:rPr>
        <w:t>（</w:t>
      </w:r>
      <w:r>
        <w:rPr>
          <w:rFonts w:hint="eastAsia" w:eastAsia="黑体"/>
          <w:b/>
          <w:color w:val="auto"/>
          <w:sz w:val="44"/>
          <w:szCs w:val="44"/>
          <w:lang w:val="en-US" w:eastAsia="zh-CN"/>
        </w:rPr>
        <w:t>终稿</w:t>
      </w:r>
      <w:r>
        <w:rPr>
          <w:rFonts w:hint="eastAsia" w:eastAsia="黑体"/>
          <w:b/>
          <w:color w:val="auto"/>
          <w:sz w:val="44"/>
          <w:szCs w:val="44"/>
        </w:rPr>
        <w:t>）</w:t>
      </w:r>
    </w:p>
    <w:p w14:paraId="74959F7E">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eastAsia="黑体"/>
          <w:b/>
          <w:color w:val="auto"/>
          <w:sz w:val="44"/>
          <w:szCs w:val="44"/>
        </w:rPr>
      </w:pPr>
    </w:p>
    <w:p w14:paraId="44B869D4">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eastAsia="黑体"/>
          <w:b/>
          <w:color w:val="auto"/>
          <w:sz w:val="44"/>
          <w:szCs w:val="44"/>
        </w:rPr>
      </w:pPr>
    </w:p>
    <w:p w14:paraId="07B9717C">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eastAsia="黑体"/>
          <w:b/>
          <w:color w:val="auto"/>
          <w:sz w:val="44"/>
          <w:szCs w:val="44"/>
        </w:rPr>
      </w:pPr>
    </w:p>
    <w:p w14:paraId="06417EA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黑体"/>
          <w:b/>
          <w:color w:val="auto"/>
          <w:sz w:val="44"/>
          <w:szCs w:val="44"/>
        </w:rPr>
      </w:pPr>
    </w:p>
    <w:p w14:paraId="44AF83BF">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黑体"/>
          <w:b/>
          <w:color w:val="auto"/>
          <w:sz w:val="32"/>
          <w:szCs w:val="32"/>
        </w:rPr>
      </w:pPr>
    </w:p>
    <w:p w14:paraId="209FF871">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黑体"/>
          <w:b/>
          <w:color w:val="auto"/>
          <w:sz w:val="32"/>
          <w:szCs w:val="32"/>
        </w:rPr>
      </w:pPr>
    </w:p>
    <w:p w14:paraId="13B9EDFE">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宋体"/>
          <w:color w:val="auto"/>
          <w:lang w:eastAsia="zh-CN"/>
        </w:rPr>
      </w:pPr>
      <w:r>
        <w:rPr>
          <w:color w:val="auto"/>
        </w:rPr>
        <w:t>法</w:t>
      </w:r>
      <w:r>
        <w:rPr>
          <w:rFonts w:hint="eastAsia"/>
          <w:color w:val="auto"/>
        </w:rPr>
        <w:t xml:space="preserve"> 定 </w:t>
      </w:r>
      <w:r>
        <w:rPr>
          <w:color w:val="auto"/>
        </w:rPr>
        <w:t>代</w:t>
      </w:r>
      <w:r>
        <w:rPr>
          <w:rFonts w:hint="eastAsia"/>
          <w:color w:val="auto"/>
        </w:rPr>
        <w:t xml:space="preserve"> </w:t>
      </w:r>
      <w:r>
        <w:rPr>
          <w:color w:val="auto"/>
        </w:rPr>
        <w:t>表</w:t>
      </w:r>
      <w:r>
        <w:rPr>
          <w:rFonts w:hint="eastAsia"/>
          <w:color w:val="auto"/>
        </w:rPr>
        <w:t xml:space="preserve"> </w:t>
      </w:r>
      <w:r>
        <w:rPr>
          <w:color w:val="auto"/>
        </w:rPr>
        <w:t>人：</w:t>
      </w:r>
      <w:r>
        <w:rPr>
          <w:rFonts w:hint="eastAsia"/>
          <w:color w:val="auto"/>
          <w:lang w:val="en-US" w:eastAsia="zh-CN"/>
        </w:rPr>
        <w:t>应  宏</w:t>
      </w:r>
    </w:p>
    <w:p w14:paraId="35FF3EE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eastAsia="宋体"/>
          <w:color w:val="auto"/>
          <w:lang w:val="en-US" w:eastAsia="zh-CN"/>
        </w:rPr>
      </w:pPr>
      <w:r>
        <w:rPr>
          <w:color w:val="auto"/>
        </w:rPr>
        <w:t>技</w:t>
      </w:r>
      <w:r>
        <w:rPr>
          <w:rFonts w:hint="eastAsia"/>
          <w:color w:val="auto"/>
        </w:rPr>
        <w:t xml:space="preserve"> </w:t>
      </w:r>
      <w:r>
        <w:rPr>
          <w:color w:val="auto"/>
        </w:rPr>
        <w:t>术</w:t>
      </w:r>
      <w:r>
        <w:rPr>
          <w:rFonts w:hint="eastAsia"/>
          <w:color w:val="auto"/>
        </w:rPr>
        <w:t xml:space="preserve"> </w:t>
      </w:r>
      <w:r>
        <w:rPr>
          <w:color w:val="auto"/>
        </w:rPr>
        <w:t>负</w:t>
      </w:r>
      <w:r>
        <w:rPr>
          <w:rFonts w:hint="eastAsia"/>
          <w:color w:val="auto"/>
        </w:rPr>
        <w:t xml:space="preserve"> </w:t>
      </w:r>
      <w:r>
        <w:rPr>
          <w:color w:val="auto"/>
        </w:rPr>
        <w:t>责</w:t>
      </w:r>
      <w:r>
        <w:rPr>
          <w:rFonts w:hint="eastAsia"/>
          <w:color w:val="auto"/>
        </w:rPr>
        <w:t xml:space="preserve"> </w:t>
      </w:r>
      <w:r>
        <w:rPr>
          <w:color w:val="auto"/>
        </w:rPr>
        <w:t>人：</w:t>
      </w:r>
      <w:r>
        <w:rPr>
          <w:rFonts w:hint="eastAsia"/>
          <w:color w:val="auto"/>
          <w:lang w:val="en-US" w:eastAsia="zh-CN"/>
        </w:rPr>
        <w:t>周红波</w:t>
      </w:r>
    </w:p>
    <w:p w14:paraId="70F18205">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宋体"/>
          <w:color w:val="auto"/>
          <w:lang w:eastAsia="zh-CN"/>
        </w:rPr>
      </w:pPr>
      <w:r>
        <w:rPr>
          <w:color w:val="auto"/>
        </w:rPr>
        <w:t>评价项目负责人：</w:t>
      </w:r>
      <w:r>
        <w:rPr>
          <w:rFonts w:hint="eastAsia"/>
          <w:color w:val="auto"/>
          <w:lang w:val="en-US" w:eastAsia="zh-CN"/>
        </w:rPr>
        <w:t>许玉才</w:t>
      </w:r>
    </w:p>
    <w:p w14:paraId="014634B3">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rPr>
      </w:pPr>
    </w:p>
    <w:p w14:paraId="48C6B79A">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auto"/>
        </w:rPr>
      </w:pPr>
      <w:r>
        <w:rPr>
          <w:b/>
          <w:bCs/>
          <w:color w:val="auto"/>
          <w:sz w:val="24"/>
        </w:rPr>
        <w:t>评价报告完成日期：</w:t>
      </w:r>
      <w:r>
        <w:rPr>
          <w:rFonts w:hint="eastAsia" w:hAnsi="宋体"/>
          <w:b/>
          <w:bCs/>
          <w:color w:val="auto"/>
          <w:spacing w:val="20"/>
          <w:sz w:val="24"/>
        </w:rPr>
        <w:t>2025年</w:t>
      </w:r>
      <w:r>
        <w:rPr>
          <w:rFonts w:hint="eastAsia" w:hAnsi="宋体"/>
          <w:b/>
          <w:bCs/>
          <w:color w:val="auto"/>
          <w:spacing w:val="20"/>
          <w:sz w:val="24"/>
          <w:lang w:val="en-US" w:eastAsia="zh-CN"/>
        </w:rPr>
        <w:t>12</w:t>
      </w:r>
      <w:r>
        <w:rPr>
          <w:rFonts w:hint="eastAsia" w:hAnsi="宋体"/>
          <w:b/>
          <w:bCs/>
          <w:color w:val="auto"/>
          <w:spacing w:val="20"/>
          <w:sz w:val="24"/>
        </w:rPr>
        <w:t>月</w:t>
      </w:r>
      <w:r>
        <w:rPr>
          <w:rFonts w:hint="eastAsia" w:hAnsi="宋体"/>
          <w:b/>
          <w:bCs/>
          <w:color w:val="auto"/>
          <w:spacing w:val="20"/>
          <w:sz w:val="24"/>
          <w:lang w:val="en-US" w:eastAsia="zh-CN"/>
        </w:rPr>
        <w:t>05</w:t>
      </w:r>
      <w:r>
        <w:rPr>
          <w:rFonts w:hint="eastAsia" w:hAnsi="宋体"/>
          <w:b/>
          <w:bCs/>
          <w:color w:val="auto"/>
          <w:spacing w:val="20"/>
          <w:sz w:val="24"/>
        </w:rPr>
        <w:t>日</w:t>
      </w:r>
    </w:p>
    <w:p w14:paraId="6CB34F2E">
      <w:pPr>
        <w:spacing w:line="600" w:lineRule="exact"/>
        <w:jc w:val="center"/>
        <w:rPr>
          <w:b/>
          <w:color w:val="auto"/>
          <w:sz w:val="32"/>
          <w:szCs w:val="32"/>
        </w:rPr>
      </w:pPr>
      <w:r>
        <w:rPr>
          <w:b/>
          <w:color w:val="auto"/>
          <w:sz w:val="32"/>
          <w:szCs w:val="32"/>
        </w:rPr>
        <w:br w:type="page"/>
      </w:r>
    </w:p>
    <w:p w14:paraId="20C8C1B5">
      <w:pPr>
        <w:keepNext w:val="0"/>
        <w:keepLines w:val="0"/>
        <w:pageBreakBefore w:val="0"/>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color w:val="auto"/>
          <w:sz w:val="36"/>
          <w:szCs w:val="36"/>
        </w:rPr>
      </w:pPr>
      <w:r>
        <w:rPr>
          <w:rFonts w:hint="eastAsia" w:ascii="宋体" w:hAnsi="宋体"/>
          <w:color w:val="auto"/>
          <w:sz w:val="36"/>
          <w:szCs w:val="36"/>
        </w:rPr>
        <w:t>江西省宜丰万国矿业有限公司</w:t>
      </w:r>
    </w:p>
    <w:p w14:paraId="102C02F0">
      <w:pPr>
        <w:keepNext w:val="0"/>
        <w:keepLines w:val="0"/>
        <w:pageBreakBefore w:val="0"/>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color w:val="auto"/>
          <w:sz w:val="36"/>
          <w:szCs w:val="36"/>
        </w:rPr>
      </w:pPr>
      <w:r>
        <w:rPr>
          <w:rFonts w:hint="eastAsia" w:ascii="宋体" w:hAnsi="宋体"/>
          <w:color w:val="auto"/>
          <w:sz w:val="36"/>
          <w:szCs w:val="36"/>
        </w:rPr>
        <w:t>铜铁选矿厂技改工程</w:t>
      </w:r>
    </w:p>
    <w:p w14:paraId="50F1057C">
      <w:pPr>
        <w:keepNext w:val="0"/>
        <w:keepLines w:val="0"/>
        <w:pageBreakBefore w:val="0"/>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color w:val="auto"/>
          <w:sz w:val="36"/>
          <w:szCs w:val="36"/>
        </w:rPr>
      </w:pPr>
      <w:r>
        <w:rPr>
          <w:rFonts w:hint="eastAsia" w:ascii="宋体" w:hAnsi="宋体"/>
          <w:color w:val="auto"/>
          <w:sz w:val="36"/>
          <w:szCs w:val="36"/>
        </w:rPr>
        <w:t>（新建内部加油站项目）</w:t>
      </w:r>
    </w:p>
    <w:p w14:paraId="00A25C37">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宋体" w:cs="宋体"/>
          <w:color w:val="auto"/>
          <w:kern w:val="0"/>
          <w:sz w:val="36"/>
          <w:szCs w:val="36"/>
        </w:rPr>
      </w:pPr>
      <w:r>
        <w:rPr>
          <w:rFonts w:hint="eastAsia" w:ascii="宋体" w:hAnsi="宋体" w:cs="宋体"/>
          <w:color w:val="auto"/>
          <w:kern w:val="0"/>
          <w:sz w:val="36"/>
          <w:szCs w:val="36"/>
        </w:rPr>
        <w:t>安全验收</w:t>
      </w:r>
      <w:r>
        <w:rPr>
          <w:rFonts w:ascii="宋体" w:hAnsi="宋体" w:cs="宋体"/>
          <w:color w:val="auto"/>
          <w:kern w:val="0"/>
          <w:sz w:val="36"/>
          <w:szCs w:val="36"/>
        </w:rPr>
        <w:t>评价</w:t>
      </w:r>
      <w:r>
        <w:rPr>
          <w:rFonts w:hint="eastAsia" w:ascii="宋体" w:hAnsi="宋体" w:cs="宋体"/>
          <w:color w:val="auto"/>
          <w:kern w:val="0"/>
          <w:sz w:val="36"/>
          <w:szCs w:val="36"/>
        </w:rPr>
        <w:t>技术服务</w:t>
      </w:r>
      <w:r>
        <w:rPr>
          <w:rFonts w:ascii="宋体" w:hAnsi="宋体" w:cs="宋体"/>
          <w:color w:val="auto"/>
          <w:kern w:val="0"/>
          <w:sz w:val="36"/>
          <w:szCs w:val="36"/>
        </w:rPr>
        <w:t>承诺书</w:t>
      </w:r>
    </w:p>
    <w:p w14:paraId="2EE982FB">
      <w:pPr>
        <w:keepNext w:val="0"/>
        <w:keepLines w:val="0"/>
        <w:pageBreakBefore w:val="0"/>
        <w:widowControl/>
        <w:kinsoku/>
        <w:wordWrap/>
        <w:overflowPunct/>
        <w:topLinePunct w:val="0"/>
        <w:autoSpaceDE/>
        <w:autoSpaceDN/>
        <w:bidi w:val="0"/>
        <w:adjustRightInd/>
        <w:snapToGrid/>
        <w:spacing w:line="480" w:lineRule="auto"/>
        <w:jc w:val="center"/>
        <w:textAlignment w:val="auto"/>
        <w:rPr>
          <w:rFonts w:hint="eastAsia" w:ascii="仿宋" w:hAnsi="仿宋" w:eastAsia="仿宋" w:cs="宋体"/>
          <w:color w:val="auto"/>
          <w:kern w:val="0"/>
          <w:sz w:val="28"/>
          <w:szCs w:val="28"/>
        </w:rPr>
      </w:pPr>
    </w:p>
    <w:p w14:paraId="6A0E05A7">
      <w:pPr>
        <w:keepNext w:val="0"/>
        <w:keepLines w:val="0"/>
        <w:pageBreakBefore w:val="0"/>
        <w:widowControl/>
        <w:kinsoku/>
        <w:wordWrap/>
        <w:overflowPunct/>
        <w:topLinePunct w:val="0"/>
        <w:autoSpaceDE/>
        <w:autoSpaceDN/>
        <w:bidi w:val="0"/>
        <w:adjustRightInd/>
        <w:snapToGrid/>
        <w:spacing w:line="480" w:lineRule="auto"/>
        <w:ind w:firstLine="640" w:firstLineChars="200"/>
        <w:textAlignment w:val="auto"/>
        <w:rPr>
          <w:rFonts w:hint="eastAsia" w:ascii="仿宋" w:hAnsi="仿宋" w:eastAsia="仿宋" w:cs="宋体"/>
          <w:color w:val="auto"/>
          <w:kern w:val="0"/>
          <w:sz w:val="32"/>
          <w:szCs w:val="32"/>
        </w:rPr>
      </w:pPr>
      <w:r>
        <w:rPr>
          <w:rFonts w:hint="eastAsia" w:ascii="仿宋" w:hAnsi="仿宋" w:eastAsia="仿宋" w:cs="宋体"/>
          <w:color w:val="auto"/>
          <w:kern w:val="0"/>
          <w:sz w:val="32"/>
          <w:szCs w:val="32"/>
        </w:rPr>
        <w:t>一、在本项目安全评价活动过程中，我单位严格遵守《安全生产法》及相关法律、法规和标准的要求。</w:t>
      </w:r>
    </w:p>
    <w:p w14:paraId="522E8E4A">
      <w:pPr>
        <w:keepNext w:val="0"/>
        <w:keepLines w:val="0"/>
        <w:pageBreakBefore w:val="0"/>
        <w:widowControl/>
        <w:kinsoku/>
        <w:wordWrap/>
        <w:overflowPunct/>
        <w:topLinePunct w:val="0"/>
        <w:autoSpaceDE/>
        <w:autoSpaceDN/>
        <w:bidi w:val="0"/>
        <w:adjustRightInd/>
        <w:snapToGrid/>
        <w:spacing w:line="480" w:lineRule="auto"/>
        <w:ind w:firstLine="640" w:firstLineChars="200"/>
        <w:textAlignment w:val="auto"/>
        <w:rPr>
          <w:rFonts w:hint="eastAsia" w:ascii="宋体" w:hAnsi="宋体" w:cs="宋体"/>
          <w:color w:val="auto"/>
          <w:kern w:val="0"/>
          <w:sz w:val="36"/>
          <w:szCs w:val="36"/>
        </w:rPr>
      </w:pPr>
      <w:r>
        <w:rPr>
          <w:rFonts w:hint="eastAsia" w:ascii="仿宋" w:hAnsi="仿宋" w:eastAsia="仿宋" w:cs="宋体"/>
          <w:color w:val="auto"/>
          <w:kern w:val="0"/>
          <w:sz w:val="32"/>
          <w:szCs w:val="32"/>
        </w:rPr>
        <w:t>二、在本项目安全评价活动过程中，我单位作为第三方，未受到任何组织和个人的干预和影响，依法独立开展工作，保证了技术服务活动的客观公正性。</w:t>
      </w:r>
    </w:p>
    <w:p w14:paraId="338974C1">
      <w:pPr>
        <w:keepNext w:val="0"/>
        <w:keepLines w:val="0"/>
        <w:pageBreakBefore w:val="0"/>
        <w:widowControl/>
        <w:kinsoku/>
        <w:wordWrap/>
        <w:overflowPunct/>
        <w:topLinePunct w:val="0"/>
        <w:autoSpaceDE/>
        <w:autoSpaceDN/>
        <w:bidi w:val="0"/>
        <w:adjustRightInd/>
        <w:snapToGrid/>
        <w:spacing w:line="480" w:lineRule="auto"/>
        <w:ind w:firstLine="640" w:firstLineChars="200"/>
        <w:jc w:val="left"/>
        <w:textAlignment w:val="auto"/>
        <w:rPr>
          <w:rFonts w:hint="eastAsia" w:ascii="仿宋" w:hAnsi="仿宋" w:eastAsia="仿宋" w:cs="宋体"/>
          <w:color w:val="auto"/>
          <w:kern w:val="0"/>
          <w:sz w:val="32"/>
          <w:szCs w:val="32"/>
        </w:rPr>
      </w:pPr>
      <w:r>
        <w:rPr>
          <w:rFonts w:hint="eastAsia" w:ascii="仿宋" w:hAnsi="仿宋" w:eastAsia="仿宋" w:cs="宋体"/>
          <w:color w:val="auto"/>
          <w:kern w:val="0"/>
          <w:sz w:val="32"/>
          <w:szCs w:val="32"/>
        </w:rPr>
        <w:t>三、我单位按照实事求是的原则，对本项目进行安全评价，确保出具的报告均真实有效，报告所提出的措施具有针对性、有效性和可行性。</w:t>
      </w:r>
    </w:p>
    <w:p w14:paraId="301E2149">
      <w:pPr>
        <w:keepNext w:val="0"/>
        <w:keepLines w:val="0"/>
        <w:pageBreakBefore w:val="0"/>
        <w:widowControl/>
        <w:kinsoku/>
        <w:wordWrap/>
        <w:overflowPunct/>
        <w:topLinePunct w:val="0"/>
        <w:autoSpaceDE/>
        <w:autoSpaceDN/>
        <w:bidi w:val="0"/>
        <w:adjustRightInd/>
        <w:snapToGrid/>
        <w:spacing w:line="480" w:lineRule="auto"/>
        <w:ind w:firstLine="640" w:firstLineChars="200"/>
        <w:jc w:val="left"/>
        <w:textAlignment w:val="auto"/>
        <w:rPr>
          <w:rFonts w:hint="eastAsia" w:ascii="仿宋" w:hAnsi="仿宋" w:eastAsia="仿宋" w:cs="宋体"/>
          <w:color w:val="auto"/>
          <w:kern w:val="0"/>
          <w:sz w:val="32"/>
          <w:szCs w:val="32"/>
        </w:rPr>
      </w:pPr>
      <w:r>
        <w:rPr>
          <w:rFonts w:hint="eastAsia" w:ascii="仿宋" w:hAnsi="仿宋" w:eastAsia="仿宋" w:cs="宋体"/>
          <w:color w:val="auto"/>
          <w:kern w:val="0"/>
          <w:sz w:val="32"/>
          <w:szCs w:val="32"/>
        </w:rPr>
        <w:t>四、我单位对本项目安全评价报告中结论性内容承担法律责任。</w:t>
      </w:r>
    </w:p>
    <w:p w14:paraId="2C8AD663">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left="5258" w:leftChars="228" w:hanging="4620" w:hangingChars="1650"/>
        <w:jc w:val="right"/>
        <w:textAlignment w:val="auto"/>
        <w:rPr>
          <w:color w:val="auto"/>
          <w:kern w:val="0"/>
          <w:szCs w:val="28"/>
        </w:rPr>
      </w:pPr>
      <w:r>
        <w:rPr>
          <w:color w:val="auto"/>
          <w:szCs w:val="28"/>
        </w:rPr>
        <w:t>江西赣安安全生产科学技术咨询服务中心</w:t>
      </w:r>
    </w:p>
    <w:p w14:paraId="59E283EE">
      <w:pPr>
        <w:keepNext w:val="0"/>
        <w:keepLines w:val="0"/>
        <w:pageBreakBefore w:val="0"/>
        <w:widowControl/>
        <w:kinsoku/>
        <w:wordWrap/>
        <w:overflowPunct/>
        <w:topLinePunct w:val="0"/>
        <w:autoSpaceDE/>
        <w:autoSpaceDN/>
        <w:bidi w:val="0"/>
        <w:adjustRightInd/>
        <w:snapToGrid/>
        <w:spacing w:beforeAutospacing="0" w:afterAutospacing="0" w:line="400" w:lineRule="exact"/>
        <w:ind w:firstLine="0" w:firstLineChars="0"/>
        <w:jc w:val="center"/>
        <w:textAlignment w:val="auto"/>
        <w:rPr>
          <w:rFonts w:hint="eastAsia"/>
          <w:color w:val="auto"/>
          <w:kern w:val="0"/>
          <w:szCs w:val="28"/>
        </w:rPr>
      </w:pPr>
      <w:r>
        <w:rPr>
          <w:rFonts w:hint="eastAsia"/>
          <w:color w:val="auto"/>
          <w:kern w:val="0"/>
          <w:szCs w:val="28"/>
          <w:lang w:val="en-US" w:eastAsia="zh-CN"/>
        </w:rPr>
        <w:t xml:space="preserve">                              </w:t>
      </w:r>
      <w:r>
        <w:rPr>
          <w:rFonts w:hint="eastAsia"/>
          <w:color w:val="auto"/>
          <w:kern w:val="0"/>
          <w:szCs w:val="28"/>
        </w:rPr>
        <w:t>2025年</w:t>
      </w:r>
      <w:r>
        <w:rPr>
          <w:rFonts w:hint="eastAsia"/>
          <w:color w:val="auto"/>
          <w:kern w:val="0"/>
          <w:szCs w:val="28"/>
          <w:lang w:val="en-US" w:eastAsia="zh-CN"/>
        </w:rPr>
        <w:t>12</w:t>
      </w:r>
      <w:r>
        <w:rPr>
          <w:rFonts w:hint="eastAsia"/>
          <w:color w:val="auto"/>
          <w:kern w:val="0"/>
          <w:szCs w:val="28"/>
        </w:rPr>
        <w:t>月</w:t>
      </w:r>
      <w:r>
        <w:rPr>
          <w:rFonts w:hint="eastAsia"/>
          <w:color w:val="auto"/>
          <w:kern w:val="0"/>
          <w:szCs w:val="28"/>
          <w:lang w:val="en-US" w:eastAsia="zh-CN"/>
        </w:rPr>
        <w:t>05</w:t>
      </w:r>
      <w:r>
        <w:rPr>
          <w:rFonts w:hint="eastAsia"/>
          <w:color w:val="auto"/>
          <w:kern w:val="0"/>
          <w:szCs w:val="28"/>
        </w:rPr>
        <w:t>日</w:t>
      </w:r>
    </w:p>
    <w:p w14:paraId="6FF5D5F5">
      <w:pPr>
        <w:keepNext w:val="0"/>
        <w:keepLines w:val="0"/>
        <w:pageBreakBefore w:val="0"/>
        <w:widowControl/>
        <w:kinsoku/>
        <w:wordWrap/>
        <w:overflowPunct/>
        <w:topLinePunct w:val="0"/>
        <w:autoSpaceDE/>
        <w:autoSpaceDN/>
        <w:bidi w:val="0"/>
        <w:adjustRightInd/>
        <w:snapToGrid/>
        <w:spacing w:beforeAutospacing="0" w:afterAutospacing="0" w:line="400" w:lineRule="exact"/>
        <w:ind w:firstLine="0" w:firstLineChars="0"/>
        <w:jc w:val="center"/>
        <w:textAlignment w:val="auto"/>
        <w:rPr>
          <w:b/>
          <w:color w:val="auto"/>
          <w:szCs w:val="28"/>
        </w:rPr>
      </w:pPr>
      <w:r>
        <w:rPr>
          <w:b/>
          <w:color w:val="auto"/>
          <w:szCs w:val="28"/>
        </w:rPr>
        <w:br w:type="page"/>
      </w:r>
    </w:p>
    <w:p w14:paraId="17492A56">
      <w:pPr>
        <w:keepNext w:val="0"/>
        <w:keepLines w:val="0"/>
        <w:pageBreakBefore w:val="0"/>
        <w:widowControl/>
        <w:kinsoku/>
        <w:wordWrap/>
        <w:overflowPunct/>
        <w:topLinePunct w:val="0"/>
        <w:autoSpaceDE/>
        <w:autoSpaceDN/>
        <w:bidi w:val="0"/>
        <w:adjustRightInd/>
        <w:snapToGrid/>
        <w:spacing w:beforeAutospacing="0" w:afterAutospacing="0" w:line="400" w:lineRule="exact"/>
        <w:ind w:firstLine="0" w:firstLineChars="0"/>
        <w:jc w:val="center"/>
        <w:textAlignment w:val="auto"/>
        <w:rPr>
          <w:b/>
          <w:color w:val="auto"/>
          <w:szCs w:val="28"/>
        </w:rPr>
      </w:pPr>
    </w:p>
    <w:p w14:paraId="29FAE40B">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0" w:firstLineChars="0"/>
        <w:jc w:val="center"/>
        <w:textAlignment w:val="auto"/>
        <w:rPr>
          <w:rFonts w:hint="eastAsia" w:ascii="Times New Roman" w:hAnsi="Times New Roman" w:eastAsia="方正小标宋简体" w:cs="Times New Roman"/>
          <w:color w:val="auto"/>
          <w:kern w:val="0"/>
          <w:sz w:val="44"/>
          <w:szCs w:val="44"/>
          <w:lang w:val="en-US" w:eastAsia="zh-CN" w:bidi="ar-SA"/>
        </w:rPr>
      </w:pPr>
      <w:r>
        <w:rPr>
          <w:rFonts w:hint="eastAsia" w:ascii="Times New Roman" w:hAnsi="Times New Roman" w:eastAsia="方正小标宋简体" w:cs="Times New Roman"/>
          <w:color w:val="auto"/>
          <w:kern w:val="0"/>
          <w:sz w:val="44"/>
          <w:szCs w:val="44"/>
          <w:lang w:val="en-US" w:eastAsia="zh-CN" w:bidi="ar-SA"/>
        </w:rPr>
        <w:t>规范安全生产中介行为的九条禁令</w:t>
      </w:r>
    </w:p>
    <w:p w14:paraId="4194D9FF">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0" w:firstLineChars="0"/>
        <w:jc w:val="center"/>
        <w:textAlignment w:val="auto"/>
        <w:rPr>
          <w:rFonts w:hint="eastAsia" w:ascii="Times New Roman" w:hAnsi="Times New Roman" w:eastAsia="方正小标宋简体" w:cs="Times New Roman"/>
          <w:color w:val="auto"/>
          <w:kern w:val="0"/>
          <w:sz w:val="32"/>
          <w:szCs w:val="32"/>
          <w:lang w:val="en-US" w:eastAsia="zh-CN" w:bidi="ar-SA"/>
        </w:rPr>
      </w:pPr>
      <w:r>
        <w:rPr>
          <w:rFonts w:hint="eastAsia" w:ascii="Times New Roman" w:hAnsi="Times New Roman" w:eastAsia="方正小标宋简体" w:cs="Times New Roman"/>
          <w:color w:val="auto"/>
          <w:kern w:val="0"/>
          <w:sz w:val="32"/>
          <w:szCs w:val="32"/>
          <w:lang w:val="en-US" w:eastAsia="zh-CN" w:bidi="ar-SA"/>
        </w:rPr>
        <w:t>赣安监管规划字〔2017〕178号</w:t>
      </w:r>
    </w:p>
    <w:p w14:paraId="77F321EB">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一、禁止从事安全生产服务的中介服务机构（以下统称中介机构）租借资质证书、非法挂靠、转包服务项目的行为</w:t>
      </w:r>
      <w:r>
        <w:rPr>
          <w:rFonts w:hint="eastAsia" w:ascii="Times New Roman" w:hAnsi="Times New Roman" w:eastAsia="宋体" w:cs="Times New Roman"/>
          <w:color w:val="auto"/>
          <w:kern w:val="0"/>
          <w:sz w:val="28"/>
          <w:szCs w:val="28"/>
          <w:lang w:val="en-US" w:eastAsia="zh-CN" w:bidi="ar-SA"/>
        </w:rPr>
        <w:t>；</w:t>
      </w:r>
    </w:p>
    <w:p w14:paraId="63308A7F">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二、禁止中介机构假借、冒用他人名义要求服务对象接受有偿服务，或者恶意低价竞争以及采取串标、围标等不正当竞争手段，扰乱技术服务市场秩序的行为；</w:t>
      </w:r>
    </w:p>
    <w:p w14:paraId="4216FD63">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三、禁止中介机构出具虚假或漏项、缺项技术报告的行为；</w:t>
      </w:r>
    </w:p>
    <w:p w14:paraId="4FA30D18">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四</w:t>
      </w:r>
      <w:r>
        <w:rPr>
          <w:rFonts w:ascii="Times New Roman" w:hAnsi="Times New Roman" w:eastAsia="宋体"/>
          <w:color w:val="auto"/>
          <w:kern w:val="0"/>
          <w:sz w:val="28"/>
          <w:szCs w:val="28"/>
        </w:rPr>
        <w:t>、</w:t>
      </w:r>
      <w:r>
        <w:rPr>
          <w:rFonts w:hint="eastAsia" w:ascii="Times New Roman" w:hAnsi="Times New Roman" w:eastAsia="宋体" w:cs="Times New Roman"/>
          <w:color w:val="auto"/>
          <w:kern w:val="0"/>
          <w:sz w:val="28"/>
          <w:szCs w:val="28"/>
          <w:lang w:val="en-US" w:eastAsia="zh-CN" w:bidi="ar-SA"/>
        </w:rPr>
        <w:t>禁止中介机构出租、出借资格证书、在报告上冒用他人签名的行为；</w:t>
      </w:r>
    </w:p>
    <w:p w14:paraId="22D55C78">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五、禁止中介机构有应到而不到现场开展技术服务的行为；</w:t>
      </w:r>
    </w:p>
    <w:p w14:paraId="305E9EF9">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六、禁止安全生产监管部门及其工作人员要求生产经营单位接受指定的中介机构开展技术服务的行为；</w:t>
      </w:r>
    </w:p>
    <w:p w14:paraId="50DB7715">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七、禁止安全生产监管部门及其工作人员没有法律依据组织由生产经营单位或机构支付费用的行政性评审的行为；</w:t>
      </w:r>
    </w:p>
    <w:p w14:paraId="2C234CF8">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八、禁止安全生产监管部门及其工作人员干预市场定价，违规擅自出台技术服务收费标准的行为；</w:t>
      </w:r>
    </w:p>
    <w:p w14:paraId="490F08CB">
      <w:pPr>
        <w:keepNext w:val="0"/>
        <w:keepLines w:val="0"/>
        <w:pageBreakBefore w:val="0"/>
        <w:kinsoku/>
        <w:wordWrap/>
        <w:overflowPunct/>
        <w:topLinePunct w:val="0"/>
        <w:autoSpaceDE/>
        <w:autoSpaceDN/>
        <w:bidi w:val="0"/>
        <w:adjustRightInd/>
        <w:snapToGrid/>
        <w:spacing w:line="420" w:lineRule="auto"/>
        <w:ind w:firstLine="560" w:firstLineChars="200"/>
        <w:jc w:val="left"/>
        <w:textAlignment w:val="auto"/>
        <w:rPr>
          <w:rFonts w:ascii="Times New Roman" w:hAnsi="Times New Roman" w:eastAsia="宋体"/>
          <w:color w:val="auto"/>
          <w:kern w:val="0"/>
          <w:szCs w:val="28"/>
        </w:rPr>
      </w:pPr>
      <w:r>
        <w:rPr>
          <w:rFonts w:ascii="Times New Roman" w:hAnsi="Times New Roman" w:eastAsia="宋体"/>
          <w:color w:val="auto"/>
          <w:kern w:val="0"/>
          <w:szCs w:val="28"/>
        </w:rPr>
        <w:t>九、禁止安全生产监管部门及其工作人员参与、擅自干预中介机构从业活动，或者有获取不正当利益的行为。</w:t>
      </w:r>
    </w:p>
    <w:p w14:paraId="3CB608A5">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640" w:firstLineChars="200"/>
        <w:textAlignment w:val="auto"/>
        <w:rPr>
          <w:rFonts w:hint="default" w:ascii="Times New Roman" w:hAnsi="Times New Roman" w:cs="Times New Roman"/>
          <w:color w:val="auto"/>
          <w:sz w:val="32"/>
          <w:szCs w:val="32"/>
        </w:rPr>
      </w:pPr>
    </w:p>
    <w:p w14:paraId="4E77486D">
      <w:pPr>
        <w:rPr>
          <w:rFonts w:hint="default" w:ascii="Times New Roman" w:hAnsi="Times New Roman" w:cs="Times New Roman"/>
          <w:color w:val="auto"/>
          <w:sz w:val="32"/>
          <w:szCs w:val="32"/>
        </w:rPr>
      </w:pPr>
      <w:r>
        <w:rPr>
          <w:rFonts w:hint="default" w:ascii="Times New Roman" w:hAnsi="Times New Roman" w:cs="Times New Roman"/>
          <w:color w:val="auto"/>
          <w:sz w:val="32"/>
          <w:szCs w:val="32"/>
        </w:rPr>
        <w:br w:type="page"/>
      </w:r>
    </w:p>
    <w:p w14:paraId="425FE16D">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Times New Roman" w:hAnsi="Times New Roman" w:eastAsia="黑体" w:cs="Times New Roman"/>
          <w:b/>
          <w:color w:val="auto"/>
          <w:sz w:val="32"/>
          <w:szCs w:val="32"/>
        </w:rPr>
      </w:pPr>
    </w:p>
    <w:p w14:paraId="3D4BB78A">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Times New Roman" w:hAnsi="Times New Roman" w:eastAsia="黑体" w:cs="Times New Roman"/>
          <w:b/>
          <w:color w:val="auto"/>
          <w:sz w:val="32"/>
          <w:szCs w:val="32"/>
        </w:rPr>
      </w:pPr>
      <w:r>
        <w:rPr>
          <w:rFonts w:ascii="Times New Roman" w:hAnsi="Times New Roman" w:eastAsia="黑体" w:cs="Times New Roman"/>
          <w:b/>
          <w:color w:val="auto"/>
          <w:sz w:val="32"/>
          <w:szCs w:val="32"/>
        </w:rPr>
        <w:t>评 价 人 员</w:t>
      </w:r>
    </w:p>
    <w:p w14:paraId="6BB95049">
      <w:pPr>
        <w:pStyle w:val="28"/>
        <w:rPr>
          <w:color w:val="auto"/>
        </w:rPr>
      </w:pP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7"/>
        <w:gridCol w:w="1290"/>
        <w:gridCol w:w="3018"/>
        <w:gridCol w:w="1564"/>
        <w:gridCol w:w="1301"/>
      </w:tblGrid>
      <w:tr w14:paraId="72A9C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3A4AFFF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14:paraId="6B311BB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姓  名</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04B6E93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证书编号</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6C94CAC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从业登记号</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1651FAC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签字</w:t>
            </w:r>
          </w:p>
        </w:tc>
      </w:tr>
      <w:tr w14:paraId="6B97C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23B51FD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项目负责人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64990F3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许玉才</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2264429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1800000000200658</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5469B6F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033460</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692FFA8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rPr>
            </w:pPr>
          </w:p>
        </w:tc>
      </w:tr>
      <w:tr w14:paraId="1E812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exact"/>
          <w:jc w:val="center"/>
        </w:trPr>
        <w:tc>
          <w:tcPr>
            <w:tcW w:w="1947" w:type="dxa"/>
            <w:vMerge w:val="restart"/>
            <w:tcBorders>
              <w:top w:val="single" w:color="auto" w:sz="4" w:space="0"/>
              <w:left w:val="single" w:color="auto" w:sz="4" w:space="0"/>
              <w:right w:val="single" w:color="auto" w:sz="4" w:space="0"/>
            </w:tcBorders>
            <w:noWrap w:val="0"/>
            <w:vAlign w:val="center"/>
          </w:tcPr>
          <w:p w14:paraId="5528E20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项目组成员</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6C74795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谢寒梅</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06838B77">
            <w:pPr>
              <w:keepNext w:val="0"/>
              <w:keepLines w:val="0"/>
              <w:pageBreakBefore w:val="0"/>
              <w:widowControl w:val="0"/>
              <w:kinsoku/>
              <w:wordWrap/>
              <w:topLinePunct w:val="0"/>
              <w:autoSpaceDE/>
              <w:autoSpaceDN/>
              <w:bidi w:val="0"/>
              <w:snapToGrid/>
              <w:spacing w:line="240" w:lineRule="auto"/>
              <w:ind w:firstLine="0" w:firstLineChars="0"/>
              <w:jc w:val="center"/>
              <w:rPr>
                <w:rFonts w:hint="default" w:ascii="Times New Roman" w:hAnsi="Times New Roman" w:eastAsia="宋体" w:cs="Times New Roman"/>
                <w:color w:val="auto"/>
                <w:sz w:val="24"/>
                <w:lang w:val="en-US" w:eastAsia="zh-CN"/>
              </w:rPr>
            </w:pPr>
            <w:r>
              <w:rPr>
                <w:rFonts w:ascii="Times New Roman" w:hAnsi="Times New Roman" w:eastAsia="宋体" w:cs="Times New Roman"/>
                <w:strike w:val="0"/>
                <w:dstrike w:val="0"/>
                <w:color w:val="auto"/>
                <w:kern w:val="2"/>
                <w:sz w:val="24"/>
                <w:szCs w:val="24"/>
              </w:rPr>
              <w:t>S011035000110192001584</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05B2AF0E">
            <w:pPr>
              <w:keepNext w:val="0"/>
              <w:keepLines w:val="0"/>
              <w:pageBreakBefore w:val="0"/>
              <w:widowControl w:val="0"/>
              <w:kinsoku/>
              <w:wordWrap/>
              <w:topLinePunct w:val="0"/>
              <w:autoSpaceDE/>
              <w:autoSpaceDN/>
              <w:bidi w:val="0"/>
              <w:snapToGrid/>
              <w:spacing w:line="240" w:lineRule="auto"/>
              <w:ind w:firstLine="0" w:firstLineChars="0"/>
              <w:jc w:val="center"/>
              <w:rPr>
                <w:rFonts w:hint="default" w:ascii="Times New Roman" w:hAnsi="Times New Roman" w:eastAsia="宋体" w:cs="Times New Roman"/>
                <w:color w:val="auto"/>
                <w:sz w:val="24"/>
                <w:lang w:val="en-US" w:eastAsia="zh-CN"/>
              </w:rPr>
            </w:pPr>
            <w:r>
              <w:rPr>
                <w:rFonts w:ascii="Times New Roman" w:hAnsi="Times New Roman" w:eastAsia="宋体" w:cs="Times New Roman"/>
                <w:strike w:val="0"/>
                <w:dstrike w:val="0"/>
                <w:color w:val="auto"/>
                <w:kern w:val="2"/>
                <w:sz w:val="24"/>
                <w:szCs w:val="24"/>
              </w:rPr>
              <w:t>027089</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585386E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rPr>
            </w:pPr>
          </w:p>
        </w:tc>
      </w:tr>
      <w:tr w14:paraId="6A609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1947" w:type="dxa"/>
            <w:vMerge w:val="continue"/>
            <w:tcBorders>
              <w:left w:val="single" w:color="auto" w:sz="4" w:space="0"/>
              <w:right w:val="single" w:color="auto" w:sz="4" w:space="0"/>
            </w:tcBorders>
            <w:noWrap w:val="0"/>
            <w:vAlign w:val="center"/>
          </w:tcPr>
          <w:p w14:paraId="24464CC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14:paraId="2CA18B5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郑  强</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1932002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0800000000101605</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1AEBEE4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001851</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58D5C13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rPr>
            </w:pPr>
          </w:p>
        </w:tc>
      </w:tr>
      <w:tr w14:paraId="17D4F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1947" w:type="dxa"/>
            <w:vMerge w:val="continue"/>
            <w:tcBorders>
              <w:left w:val="single" w:color="auto" w:sz="4" w:space="0"/>
              <w:right w:val="single" w:color="auto" w:sz="4" w:space="0"/>
            </w:tcBorders>
            <w:noWrap w:val="0"/>
            <w:vAlign w:val="center"/>
          </w:tcPr>
          <w:p w14:paraId="05A4C20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14:paraId="0F202A5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黄伯扬</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17F54AE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1</w:t>
            </w:r>
            <w:r>
              <w:rPr>
                <w:rFonts w:hint="default" w:ascii="Times New Roman" w:hAnsi="Times New Roman" w:eastAsia="宋体" w:cs="Times New Roman"/>
                <w:color w:val="auto"/>
                <w:sz w:val="24"/>
              </w:rPr>
              <w:t>800000000</w:t>
            </w:r>
            <w:r>
              <w:rPr>
                <w:rFonts w:hint="default" w:ascii="Times New Roman" w:hAnsi="Times New Roman" w:cs="Times New Roman"/>
                <w:color w:val="auto"/>
                <w:sz w:val="24"/>
                <w:lang w:val="en-US" w:eastAsia="zh-CN"/>
              </w:rPr>
              <w:t>3</w:t>
            </w:r>
            <w:r>
              <w:rPr>
                <w:rFonts w:hint="default" w:ascii="Times New Roman" w:hAnsi="Times New Roman" w:eastAsia="宋体" w:cs="Times New Roman"/>
                <w:color w:val="auto"/>
                <w:sz w:val="24"/>
              </w:rPr>
              <w:t>0</w:t>
            </w:r>
            <w:r>
              <w:rPr>
                <w:rFonts w:hint="default" w:ascii="Times New Roman" w:hAnsi="Times New Roman" w:cs="Times New Roman"/>
                <w:color w:val="auto"/>
                <w:sz w:val="24"/>
                <w:lang w:val="en-US" w:eastAsia="zh-CN"/>
              </w:rPr>
              <w:t>0643</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184C7D8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032737</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126CA83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rPr>
            </w:pPr>
          </w:p>
        </w:tc>
      </w:tr>
      <w:tr w14:paraId="6AAEB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1947" w:type="dxa"/>
            <w:vMerge w:val="continue"/>
            <w:tcBorders>
              <w:left w:val="single" w:color="auto" w:sz="4" w:space="0"/>
              <w:right w:val="single" w:color="auto" w:sz="4" w:space="0"/>
            </w:tcBorders>
            <w:noWrap w:val="0"/>
            <w:vAlign w:val="center"/>
          </w:tcPr>
          <w:p w14:paraId="03DA24E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14:paraId="3621BC9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lang w:val="en-US" w:eastAsia="zh-CN"/>
              </w:rPr>
            </w:pPr>
            <w:r>
              <w:rPr>
                <w:rFonts w:hint="eastAsia" w:cs="Times New Roman"/>
                <w:color w:val="auto"/>
                <w:sz w:val="24"/>
                <w:lang w:val="en-US" w:eastAsia="zh-CN"/>
              </w:rPr>
              <w:t>王波</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1D078611">
            <w:pPr>
              <w:keepNext w:val="0"/>
              <w:keepLines w:val="0"/>
              <w:pageBreakBefore w:val="0"/>
              <w:widowControl w:val="0"/>
              <w:kinsoku/>
              <w:wordWrap/>
              <w:topLinePunct w:val="0"/>
              <w:autoSpaceDE/>
              <w:autoSpaceDN/>
              <w:bidi w:val="0"/>
              <w:snapToGrid/>
              <w:spacing w:line="240" w:lineRule="auto"/>
              <w:ind w:firstLine="0" w:firstLineChars="0"/>
              <w:jc w:val="center"/>
              <w:rPr>
                <w:rFonts w:hint="default" w:ascii="Times New Roman" w:hAnsi="Times New Roman" w:eastAsia="宋体" w:cs="Times New Roman"/>
                <w:color w:val="auto"/>
                <w:sz w:val="24"/>
              </w:rPr>
            </w:pPr>
            <w:r>
              <w:rPr>
                <w:rFonts w:ascii="Times New Roman" w:hAnsi="Times New Roman" w:eastAsia="宋体" w:cs="Times New Roman"/>
                <w:strike w:val="0"/>
                <w:dstrike w:val="0"/>
                <w:color w:val="auto"/>
                <w:kern w:val="2"/>
                <w:sz w:val="24"/>
                <w:szCs w:val="24"/>
              </w:rPr>
              <w:t>S011035000110202001263</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78DC5AF5">
            <w:pPr>
              <w:keepNext w:val="0"/>
              <w:keepLines w:val="0"/>
              <w:pageBreakBefore w:val="0"/>
              <w:widowControl w:val="0"/>
              <w:kinsoku/>
              <w:wordWrap/>
              <w:topLinePunct w:val="0"/>
              <w:autoSpaceDE/>
              <w:autoSpaceDN/>
              <w:bidi w:val="0"/>
              <w:snapToGrid/>
              <w:spacing w:line="240" w:lineRule="auto"/>
              <w:ind w:firstLine="0" w:firstLineChars="0"/>
              <w:jc w:val="center"/>
              <w:rPr>
                <w:rFonts w:hint="default" w:ascii="Times New Roman" w:hAnsi="Times New Roman" w:eastAsia="宋体" w:cs="Times New Roman"/>
                <w:color w:val="auto"/>
                <w:sz w:val="24"/>
              </w:rPr>
            </w:pPr>
            <w:r>
              <w:rPr>
                <w:rFonts w:ascii="Times New Roman" w:hAnsi="Times New Roman" w:eastAsia="宋体" w:cs="Times New Roman"/>
                <w:strike w:val="0"/>
                <w:dstrike w:val="0"/>
                <w:color w:val="auto"/>
                <w:kern w:val="2"/>
                <w:sz w:val="24"/>
                <w:szCs w:val="24"/>
              </w:rPr>
              <w:t>040122</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7835EC0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rPr>
            </w:pPr>
          </w:p>
        </w:tc>
      </w:tr>
      <w:tr w14:paraId="04160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1947" w:type="dxa"/>
            <w:vMerge w:val="continue"/>
            <w:tcBorders>
              <w:left w:val="single" w:color="auto" w:sz="4" w:space="0"/>
              <w:right w:val="single" w:color="auto" w:sz="4" w:space="0"/>
            </w:tcBorders>
            <w:noWrap w:val="0"/>
            <w:vAlign w:val="center"/>
          </w:tcPr>
          <w:p w14:paraId="68C10DB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14:paraId="7E26D9B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lang w:val="en-US" w:eastAsia="zh-CN" w:bidi="ar-SA"/>
              </w:rPr>
            </w:pPr>
            <w:r>
              <w:rPr>
                <w:rFonts w:hint="eastAsia" w:cs="Times New Roman"/>
                <w:color w:val="auto"/>
                <w:sz w:val="24"/>
                <w:lang w:val="en-US" w:eastAsia="zh-CN"/>
              </w:rPr>
              <w:t>朱世斌</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27D51E9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03320241036000000156</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59E2DBC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36250423318</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3826168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rPr>
            </w:pPr>
          </w:p>
        </w:tc>
      </w:tr>
      <w:tr w14:paraId="7EC8E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exact"/>
          <w:jc w:val="center"/>
        </w:trPr>
        <w:tc>
          <w:tcPr>
            <w:tcW w:w="1947" w:type="dxa"/>
            <w:tcBorders>
              <w:top w:val="single" w:color="auto" w:sz="4" w:space="0"/>
              <w:left w:val="single" w:color="auto" w:sz="4" w:space="0"/>
              <w:right w:val="single" w:color="auto" w:sz="4" w:space="0"/>
            </w:tcBorders>
            <w:noWrap w:val="0"/>
            <w:vAlign w:val="center"/>
          </w:tcPr>
          <w:p w14:paraId="27E5444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报告编制人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3B6D3AF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许玉才</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709D957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1800000000200658</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51B975F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033460</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4EDEC40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rPr>
            </w:pPr>
          </w:p>
        </w:tc>
      </w:tr>
      <w:tr w14:paraId="58B6A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709C597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报告审核人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1CC7AC9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黄香港</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50AB4F63">
            <w:pPr>
              <w:keepNext w:val="0"/>
              <w:keepLines w:val="0"/>
              <w:pageBreakBefore w:val="0"/>
              <w:widowControl w:val="0"/>
              <w:kinsoku/>
              <w:wordWrap/>
              <w:overflowPunct w:val="0"/>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strike w:val="0"/>
                <w:dstrike w:val="0"/>
                <w:color w:val="auto"/>
                <w:kern w:val="0"/>
                <w:sz w:val="24"/>
                <w:szCs w:val="24"/>
              </w:rPr>
              <w:t>S011035000110191000617</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286CC255">
            <w:pPr>
              <w:keepNext w:val="0"/>
              <w:keepLines w:val="0"/>
              <w:pageBreakBefore w:val="0"/>
              <w:widowControl w:val="0"/>
              <w:kinsoku/>
              <w:wordWrap/>
              <w:overflowPunct w:val="0"/>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strike w:val="0"/>
                <w:dstrike w:val="0"/>
                <w:color w:val="auto"/>
                <w:kern w:val="0"/>
                <w:sz w:val="24"/>
                <w:szCs w:val="24"/>
              </w:rPr>
              <w:t>024436</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79007A2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rPr>
            </w:pPr>
          </w:p>
        </w:tc>
      </w:tr>
      <w:tr w14:paraId="4828E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7D86BF6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过程控制负责</w:t>
            </w:r>
            <w:r>
              <w:rPr>
                <w:rFonts w:hint="eastAsia" w:ascii="Times New Roman" w:hAnsi="Times New Roman" w:cs="Times New Roman"/>
                <w:color w:val="auto"/>
                <w:sz w:val="24"/>
                <w:lang w:val="en-US" w:eastAsia="zh-CN"/>
              </w:rPr>
              <w:t>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1C1F6C0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檀廷斌</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250DB47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1600000000200717</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38C7C0E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029648</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58CD7EA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rPr>
            </w:pPr>
          </w:p>
        </w:tc>
      </w:tr>
      <w:tr w14:paraId="6ECBB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exact"/>
          <w:jc w:val="center"/>
        </w:trPr>
        <w:tc>
          <w:tcPr>
            <w:tcW w:w="1947" w:type="dxa"/>
            <w:tcBorders>
              <w:top w:val="single" w:color="auto" w:sz="4" w:space="0"/>
              <w:left w:val="single" w:color="auto" w:sz="4" w:space="0"/>
              <w:bottom w:val="single" w:color="auto" w:sz="4" w:space="0"/>
              <w:right w:val="single" w:color="auto" w:sz="4" w:space="0"/>
            </w:tcBorders>
            <w:noWrap w:val="0"/>
            <w:vAlign w:val="center"/>
          </w:tcPr>
          <w:p w14:paraId="74BC25A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技术负责人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0F95752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周红波</w:t>
            </w:r>
          </w:p>
        </w:tc>
        <w:tc>
          <w:tcPr>
            <w:tcW w:w="3018" w:type="dxa"/>
            <w:tcBorders>
              <w:top w:val="single" w:color="auto" w:sz="4" w:space="0"/>
              <w:left w:val="single" w:color="auto" w:sz="4" w:space="0"/>
              <w:bottom w:val="single" w:color="auto" w:sz="4" w:space="0"/>
              <w:right w:val="single" w:color="auto" w:sz="4" w:space="0"/>
            </w:tcBorders>
            <w:noWrap w:val="0"/>
            <w:vAlign w:val="center"/>
          </w:tcPr>
          <w:p w14:paraId="097CFA80">
            <w:pPr>
              <w:keepNext w:val="0"/>
              <w:keepLines w:val="0"/>
              <w:pageBreakBefore w:val="0"/>
              <w:widowControl w:val="0"/>
              <w:kinsoku/>
              <w:wordWrap/>
              <w:topLinePunct w:val="0"/>
              <w:autoSpaceDE/>
              <w:autoSpaceDN/>
              <w:bidi w:val="0"/>
              <w:snapToGrid/>
              <w:spacing w:line="240" w:lineRule="auto"/>
              <w:ind w:firstLine="0" w:firstLineChars="0"/>
              <w:jc w:val="center"/>
              <w:rPr>
                <w:rFonts w:hint="default" w:ascii="Times New Roman" w:hAnsi="Times New Roman" w:eastAsia="宋体" w:cs="Times New Roman"/>
                <w:color w:val="auto"/>
                <w:sz w:val="24"/>
              </w:rPr>
            </w:pPr>
            <w:r>
              <w:rPr>
                <w:rFonts w:ascii="Times New Roman" w:hAnsi="Times New Roman" w:eastAsia="宋体" w:cs="Times New Roman"/>
                <w:strike w:val="0"/>
                <w:dstrike w:val="0"/>
                <w:color w:val="auto"/>
                <w:kern w:val="2"/>
                <w:sz w:val="24"/>
                <w:szCs w:val="24"/>
              </w:rPr>
              <w:t>1700000000100121</w:t>
            </w:r>
          </w:p>
        </w:tc>
        <w:tc>
          <w:tcPr>
            <w:tcW w:w="1564" w:type="dxa"/>
            <w:tcBorders>
              <w:top w:val="single" w:color="auto" w:sz="4" w:space="0"/>
              <w:left w:val="single" w:color="auto" w:sz="4" w:space="0"/>
              <w:bottom w:val="single" w:color="auto" w:sz="4" w:space="0"/>
              <w:right w:val="single" w:color="auto" w:sz="4" w:space="0"/>
            </w:tcBorders>
            <w:noWrap w:val="0"/>
            <w:vAlign w:val="center"/>
          </w:tcPr>
          <w:p w14:paraId="003D801D">
            <w:pPr>
              <w:keepNext w:val="0"/>
              <w:keepLines w:val="0"/>
              <w:pageBreakBefore w:val="0"/>
              <w:widowControl w:val="0"/>
              <w:kinsoku/>
              <w:wordWrap/>
              <w:topLinePunct w:val="0"/>
              <w:autoSpaceDE/>
              <w:autoSpaceDN/>
              <w:bidi w:val="0"/>
              <w:snapToGrid/>
              <w:spacing w:line="240" w:lineRule="auto"/>
              <w:ind w:firstLine="0" w:firstLineChars="0"/>
              <w:jc w:val="center"/>
              <w:rPr>
                <w:rFonts w:hint="default" w:ascii="Times New Roman" w:hAnsi="Times New Roman" w:eastAsia="宋体" w:cs="Times New Roman"/>
                <w:color w:val="auto"/>
                <w:sz w:val="24"/>
              </w:rPr>
            </w:pPr>
            <w:r>
              <w:rPr>
                <w:rFonts w:ascii="Times New Roman" w:hAnsi="Times New Roman" w:eastAsia="宋体" w:cs="Times New Roman"/>
                <w:strike w:val="0"/>
                <w:dstrike w:val="0"/>
                <w:color w:val="auto"/>
                <w:kern w:val="2"/>
                <w:sz w:val="24"/>
                <w:szCs w:val="24"/>
              </w:rPr>
              <w:t>020702</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0FBCF6F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4"/>
              </w:rPr>
            </w:pPr>
          </w:p>
        </w:tc>
      </w:tr>
    </w:tbl>
    <w:p w14:paraId="76709F26">
      <w:pPr>
        <w:spacing w:before="234" w:beforeLines="75" w:after="234" w:afterLines="75" w:line="560" w:lineRule="exact"/>
        <w:jc w:val="center"/>
        <w:rPr>
          <w:rFonts w:ascii="宋体" w:hAnsi="宋体" w:eastAsia="宋体" w:cs="Times New Roman"/>
          <w:b/>
          <w:color w:val="auto"/>
          <w:sz w:val="28"/>
          <w:szCs w:val="28"/>
        </w:rPr>
      </w:pPr>
    </w:p>
    <w:p w14:paraId="71D1C154">
      <w:pPr>
        <w:jc w:val="center"/>
        <w:rPr>
          <w:color w:val="auto"/>
          <w:sz w:val="28"/>
          <w:szCs w:val="28"/>
        </w:rPr>
      </w:pPr>
    </w:p>
    <w:p w14:paraId="2401C47E">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
          <w:bCs/>
          <w:color w:val="auto"/>
          <w:sz w:val="32"/>
          <w:szCs w:val="32"/>
        </w:rPr>
      </w:pPr>
      <w:r>
        <w:rPr>
          <w:rFonts w:ascii="宋体" w:hAnsi="宋体"/>
          <w:color w:val="auto"/>
          <w:sz w:val="28"/>
          <w:szCs w:val="28"/>
        </w:rPr>
        <w:br w:type="page"/>
      </w:r>
      <w:r>
        <w:rPr>
          <w:rFonts w:hint="eastAsia" w:ascii="黑体" w:hAnsi="黑体" w:eastAsia="黑体" w:cs="黑体"/>
          <w:b/>
          <w:bCs/>
          <w:color w:val="auto"/>
          <w:sz w:val="32"/>
          <w:szCs w:val="32"/>
        </w:rPr>
        <w:t>前    言</w:t>
      </w:r>
    </w:p>
    <w:p w14:paraId="28A2F1EC">
      <w:pPr>
        <w:bidi w:val="0"/>
        <w:rPr>
          <w:rFonts w:hint="eastAsia" w:eastAsia="宋体"/>
          <w:color w:val="auto"/>
          <w:lang w:eastAsia="zh-CN"/>
        </w:rPr>
      </w:pPr>
      <w:r>
        <w:rPr>
          <w:rFonts w:hint="eastAsia"/>
        </w:rPr>
        <w:t>江西省宜丰万国矿业有限公司成立于2003年11月26日</w:t>
      </w:r>
      <w:r>
        <w:rPr>
          <w:rFonts w:hint="eastAsia"/>
          <w:lang w:eastAsia="zh-CN"/>
        </w:rPr>
        <w:t>，</w:t>
      </w:r>
      <w:r>
        <w:rPr>
          <w:rFonts w:hint="eastAsia"/>
        </w:rPr>
        <w:t>法定代表人邓志平</w:t>
      </w:r>
      <w:r>
        <w:rPr>
          <w:rFonts w:hint="eastAsia"/>
          <w:lang w:eastAsia="zh-CN"/>
        </w:rPr>
        <w:t>，</w:t>
      </w:r>
      <w:r>
        <w:rPr>
          <w:rFonts w:hint="eastAsia"/>
        </w:rPr>
        <w:t>统一社会信用代码：913609007542492406</w:t>
      </w:r>
      <w:r>
        <w:rPr>
          <w:rFonts w:hint="eastAsia"/>
          <w:lang w:eastAsia="zh-CN"/>
        </w:rPr>
        <w:t>，</w:t>
      </w:r>
      <w:r>
        <w:rPr>
          <w:rFonts w:hint="eastAsia"/>
        </w:rPr>
        <w:t>主要经营范围：铜、铅、锌、铁矿及其伴生矿的开采、选矿</w:t>
      </w:r>
      <w:r>
        <w:rPr>
          <w:rFonts w:hint="eastAsia"/>
          <w:lang w:eastAsia="zh-CN"/>
        </w:rPr>
        <w:t>，</w:t>
      </w:r>
      <w:r>
        <w:rPr>
          <w:rFonts w:hint="eastAsia"/>
        </w:rPr>
        <w:t>上述矿产品和有色金属产品的销</w:t>
      </w:r>
      <w:r>
        <w:rPr>
          <w:rFonts w:hint="eastAsia"/>
          <w:color w:val="auto"/>
        </w:rPr>
        <w:t>售。（依法须经批准的项目，经相关部门批准后方可开展经营活动）</w:t>
      </w:r>
    </w:p>
    <w:p w14:paraId="0D033EE6">
      <w:pPr>
        <w:bidi w:val="0"/>
        <w:rPr>
          <w:rFonts w:hint="eastAsia"/>
          <w:color w:val="auto"/>
        </w:rPr>
      </w:pPr>
      <w:r>
        <w:rPr>
          <w:rFonts w:hint="eastAsia"/>
          <w:color w:val="auto"/>
        </w:rPr>
        <w:t>为解决内部车辆加油需求，满足矿山日常生产需求，江西省宜丰万国矿业有限公司新建内部撬装式加油站，本项目仅作为内部车辆（装载机、铲车、叉车、洒水车、运输货车、矿山设备等）加油自用，不对外经营。</w:t>
      </w:r>
    </w:p>
    <w:p w14:paraId="50829CBE">
      <w:pPr>
        <w:bidi w:val="0"/>
        <w:rPr>
          <w:rFonts w:hint="eastAsia"/>
          <w:color w:val="auto"/>
        </w:rPr>
      </w:pPr>
      <w:r>
        <w:rPr>
          <w:rFonts w:hint="eastAsia"/>
          <w:color w:val="auto"/>
        </w:rPr>
        <w:t>该项目规模为：</w:t>
      </w:r>
      <w:r>
        <w:rPr>
          <w:rFonts w:hint="eastAsia" w:ascii="Times New Roman" w:hAnsi="Times New Roman" w:eastAsia="宋体" w:cs="Times New Roman"/>
          <w:color w:val="auto"/>
          <w:lang w:val="en-US" w:eastAsia="zh-CN"/>
        </w:rPr>
        <w:t>新设置1台阻隔防爆橇装式加注装置，外形尺寸长8.3m，宽2.75m，高2.75m。装置含1台30m³0#柴油双壁储罐，直径2.5m，长6.4m，设置2个隔仓，每个隔仓15m³，配置1台卸油泵，1台加油机，购进的0#柴油闪点＞60℃。自用撬装加油装置四周设置混凝土防护围堰。</w:t>
      </w:r>
    </w:p>
    <w:p w14:paraId="7B6D8D23">
      <w:pPr>
        <w:bidi w:val="0"/>
        <w:rPr>
          <w:rFonts w:hint="eastAsia"/>
        </w:rPr>
      </w:pPr>
      <w:r>
        <w:rPr>
          <w:rFonts w:hint="eastAsia"/>
        </w:rPr>
        <w:t>根据《危险化学品目录》（2022年版）辨识，该项目使用的0#柴油闪点≥60℃，属于危险化学品。</w:t>
      </w:r>
    </w:p>
    <w:p w14:paraId="0FD6E542">
      <w:pPr>
        <w:bidi w:val="0"/>
        <w:rPr>
          <w:rFonts w:hint="default" w:eastAsia="宋体"/>
          <w:color w:val="auto"/>
          <w:lang w:val="en-US" w:eastAsia="zh-CN"/>
        </w:rPr>
      </w:pPr>
      <w:r>
        <w:rPr>
          <w:rFonts w:hint="eastAsia"/>
          <w:color w:val="auto"/>
        </w:rPr>
        <w:t>该项目安全条件评价由江西省宜丰万国矿业有限公司</w:t>
      </w:r>
      <w:r>
        <w:rPr>
          <w:rFonts w:hint="eastAsia"/>
          <w:color w:val="auto"/>
          <w:lang w:val="en-US" w:eastAsia="zh-CN"/>
        </w:rPr>
        <w:t>自行编制，新建内部加油站属于铜铁选矿厂技改工程其中一部分，未单独进行安全条件评价，包含在铜铁选矿厂技改工程</w:t>
      </w:r>
      <w:r>
        <w:rPr>
          <w:rFonts w:hint="eastAsia"/>
          <w:color w:val="auto"/>
        </w:rPr>
        <w:t>安全条件评价</w:t>
      </w:r>
      <w:r>
        <w:rPr>
          <w:rFonts w:hint="eastAsia"/>
          <w:color w:val="auto"/>
          <w:lang w:val="en-US" w:eastAsia="zh-CN"/>
        </w:rPr>
        <w:t>之中。</w:t>
      </w:r>
    </w:p>
    <w:p w14:paraId="22BECB4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rPr>
        <w:t>该项目安全设施设计由北京慎恒工程设计有限公司编制，于2025年7月24日组织专家组评审并取得专家组评审意见，专家组评审意见见附件。</w:t>
      </w:r>
    </w:p>
    <w:p w14:paraId="6B623E8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rPr>
        <w:t>该项目在经营过程</w:t>
      </w:r>
      <w:r>
        <w:rPr>
          <w:rFonts w:hint="eastAsia"/>
          <w:color w:val="auto"/>
          <w:highlight w:val="none"/>
          <w:lang w:val="en-US" w:eastAsia="zh-CN"/>
        </w:rPr>
        <w:t>中</w:t>
      </w:r>
      <w:r>
        <w:rPr>
          <w:rFonts w:hint="eastAsia"/>
          <w:color w:val="auto"/>
          <w:highlight w:val="none"/>
        </w:rPr>
        <w:t>存在火灾、爆炸；触电；车辆伤害；物体打击；中毒与窒息；机械伤害；坍塌；有害物质；噪声等危险、有害因素。</w:t>
      </w:r>
    </w:p>
    <w:p w14:paraId="67E2F83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rPr>
        <w:t>根据《中华人民共和国安全生产法》（国家主席令【2021】第88号）、《危险化学品安全管理条例》（国务院令【2011】第591号，【2013】第645号修订）、《危险化学品经营许可证管理办法》安监总局令第55号（安监总局令第79号修正）、《危险化学品建设项目安全监督管理办法》安监总局45号令（安监总局令第79号修正）的要求，新、改、扩建项目完成后，企业应对项目进行安全验收评价，以判断工程项目在劳动安全卫生方面对国家及行业有关的标准和法规的符合性，并检查相关安全配套设施“三同时”的有效性。</w:t>
      </w:r>
    </w:p>
    <w:p w14:paraId="1C6BDC9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rPr>
        <w:t>受江西省宜丰万国矿业有限公司的委托，江西赣安安全生产科学技术咨询服务中心承担其铜铁选矿厂技改工程（新建内部加油站项目）安全设施验收评价工作，我中心组成评价小组，对所提供的资料、文件进行了审核，对现场进行了实地检测，根据《危险化学品建设项目安全评价细则（试行）》（安监总危化〔2007〕255号）、《安全评价通则》</w:t>
      </w:r>
      <w:r>
        <w:rPr>
          <w:rFonts w:hint="eastAsia"/>
          <w:color w:val="auto"/>
          <w:highlight w:val="none"/>
          <w:lang w:eastAsia="zh-CN"/>
        </w:rPr>
        <w:t>（</w:t>
      </w:r>
      <w:r>
        <w:rPr>
          <w:rFonts w:hint="eastAsia"/>
          <w:color w:val="auto"/>
          <w:highlight w:val="none"/>
        </w:rPr>
        <w:t>AQ8001-2007</w:t>
      </w:r>
      <w:r>
        <w:rPr>
          <w:rFonts w:hint="eastAsia"/>
          <w:color w:val="auto"/>
          <w:highlight w:val="none"/>
          <w:lang w:eastAsia="zh-CN"/>
        </w:rPr>
        <w:t>）</w:t>
      </w:r>
      <w:r>
        <w:rPr>
          <w:rFonts w:hint="eastAsia"/>
          <w:color w:val="auto"/>
          <w:highlight w:val="none"/>
        </w:rPr>
        <w:t>和《安全验收评价导则》</w:t>
      </w:r>
      <w:r>
        <w:rPr>
          <w:rFonts w:hint="eastAsia"/>
          <w:color w:val="auto"/>
          <w:highlight w:val="none"/>
          <w:lang w:eastAsia="zh-CN"/>
        </w:rPr>
        <w:t>（</w:t>
      </w:r>
      <w:r>
        <w:rPr>
          <w:rFonts w:hint="eastAsia"/>
          <w:color w:val="auto"/>
          <w:highlight w:val="none"/>
        </w:rPr>
        <w:t>AQ8003-2007</w:t>
      </w:r>
      <w:r>
        <w:rPr>
          <w:rFonts w:hint="eastAsia"/>
          <w:color w:val="auto"/>
          <w:highlight w:val="none"/>
          <w:lang w:eastAsia="zh-CN"/>
        </w:rPr>
        <w:t>）</w:t>
      </w:r>
      <w:r>
        <w:rPr>
          <w:rFonts w:hint="eastAsia"/>
          <w:color w:val="auto"/>
          <w:highlight w:val="none"/>
        </w:rPr>
        <w:t>要求，编写此验收评价报告。</w:t>
      </w:r>
    </w:p>
    <w:p w14:paraId="50AEFD1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color w:val="auto"/>
          <w:highlight w:val="none"/>
        </w:rPr>
        <w:t>在验收评价过程中得到了江西省宜丰万国矿业有限公司管理人员及本中心相关人员的大力支持和配合，在此一并致谢！</w:t>
      </w:r>
    </w:p>
    <w:p w14:paraId="6F16811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rPr>
      </w:pPr>
    </w:p>
    <w:p w14:paraId="73F468FC">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rPr>
      </w:pPr>
      <w:r>
        <w:rPr>
          <w:color w:val="auto"/>
          <w:highlight w:val="none"/>
        </w:rPr>
        <w:br w:type="page"/>
      </w:r>
    </w:p>
    <w:p w14:paraId="215C7C0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目    录</w:t>
      </w:r>
    </w:p>
    <w:p w14:paraId="7AE1EDC8">
      <w:pPr>
        <w:pStyle w:val="15"/>
        <w:keepNext w:val="0"/>
        <w:keepLines w:val="0"/>
        <w:pageBreakBefore w:val="0"/>
        <w:widowControl w:val="0"/>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TOC \o "1-3" \h \u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_Toc26398 </w:instrText>
      </w:r>
      <w:r>
        <w:rPr>
          <w:rFonts w:hint="default" w:ascii="Times New Roman" w:hAnsi="Times New Roman" w:eastAsia="宋体" w:cs="Times New Roman"/>
        </w:rPr>
        <w:fldChar w:fldCharType="separate"/>
      </w:r>
      <w:r>
        <w:rPr>
          <w:rFonts w:hint="default" w:ascii="Times New Roman" w:hAnsi="Times New Roman" w:eastAsia="宋体" w:cs="Times New Roman"/>
        </w:rPr>
        <w:t>1. 概述</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_Toc26398 \h </w:instrText>
      </w:r>
      <w:r>
        <w:rPr>
          <w:rFonts w:hint="default" w:ascii="Times New Roman" w:hAnsi="Times New Roman" w:eastAsia="宋体" w:cs="Times New Roman"/>
        </w:rPr>
        <w:fldChar w:fldCharType="separate"/>
      </w:r>
      <w:r>
        <w:rPr>
          <w:rFonts w:hint="default" w:ascii="Times New Roman" w:hAnsi="Times New Roman" w:eastAsia="宋体" w:cs="Times New Roman"/>
        </w:rPr>
        <w:t>1</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153CC703">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_Toc7740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1.1 评价目的</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_Toc7740 \h </w:instrText>
      </w:r>
      <w:r>
        <w:rPr>
          <w:rFonts w:hint="default" w:ascii="Times New Roman" w:hAnsi="Times New Roman" w:eastAsia="宋体" w:cs="Times New Roman"/>
        </w:rPr>
        <w:fldChar w:fldCharType="separate"/>
      </w:r>
      <w:r>
        <w:rPr>
          <w:rFonts w:hint="default" w:ascii="Times New Roman" w:hAnsi="Times New Roman" w:eastAsia="宋体" w:cs="Times New Roman"/>
        </w:rPr>
        <w:t>1</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6D683367">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_Toc8523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1.2 评价对象、范围及内容</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_Toc8523 \h </w:instrText>
      </w:r>
      <w:r>
        <w:rPr>
          <w:rFonts w:hint="default" w:ascii="Times New Roman" w:hAnsi="Times New Roman" w:eastAsia="宋体" w:cs="Times New Roman"/>
        </w:rPr>
        <w:fldChar w:fldCharType="separate"/>
      </w:r>
      <w:r>
        <w:rPr>
          <w:rFonts w:hint="default" w:ascii="Times New Roman" w:hAnsi="Times New Roman" w:eastAsia="宋体" w:cs="Times New Roman"/>
        </w:rPr>
        <w:t>2</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1780F509">
      <w:pPr>
        <w:pStyle w:val="11"/>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_Toc10772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1.2.1 评价对象</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_Toc10772 \h </w:instrText>
      </w:r>
      <w:r>
        <w:rPr>
          <w:rFonts w:hint="default" w:ascii="Times New Roman" w:hAnsi="Times New Roman" w:eastAsia="宋体" w:cs="Times New Roman"/>
        </w:rPr>
        <w:fldChar w:fldCharType="separate"/>
      </w:r>
      <w:r>
        <w:rPr>
          <w:rFonts w:hint="default" w:ascii="Times New Roman" w:hAnsi="Times New Roman" w:eastAsia="宋体" w:cs="Times New Roman"/>
        </w:rPr>
        <w:t>2</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4D73F658">
      <w:pPr>
        <w:pStyle w:val="11"/>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_Toc30796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1.2.2 评价范围</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_Toc30796 \h </w:instrText>
      </w:r>
      <w:r>
        <w:rPr>
          <w:rFonts w:hint="default" w:ascii="Times New Roman" w:hAnsi="Times New Roman" w:eastAsia="宋体" w:cs="Times New Roman"/>
        </w:rPr>
        <w:fldChar w:fldCharType="separate"/>
      </w:r>
      <w:r>
        <w:rPr>
          <w:rFonts w:hint="default" w:ascii="Times New Roman" w:hAnsi="Times New Roman" w:eastAsia="宋体" w:cs="Times New Roman"/>
        </w:rPr>
        <w:t>2</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6909E308">
      <w:pPr>
        <w:pStyle w:val="11"/>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_Toc14494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1.2.3 评价内容</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_Toc14494 \h </w:instrText>
      </w:r>
      <w:r>
        <w:rPr>
          <w:rFonts w:hint="default" w:ascii="Times New Roman" w:hAnsi="Times New Roman" w:eastAsia="宋体" w:cs="Times New Roman"/>
        </w:rPr>
        <w:fldChar w:fldCharType="separate"/>
      </w:r>
      <w:r>
        <w:rPr>
          <w:rFonts w:hint="default" w:ascii="Times New Roman" w:hAnsi="Times New Roman" w:eastAsia="宋体" w:cs="Times New Roman"/>
        </w:rPr>
        <w:t>2</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76A7CA40">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_Toc2214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1.3 评价依据</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_Toc2214 \h </w:instrText>
      </w:r>
      <w:r>
        <w:rPr>
          <w:rFonts w:hint="default" w:ascii="Times New Roman" w:hAnsi="Times New Roman" w:eastAsia="宋体" w:cs="Times New Roman"/>
        </w:rPr>
        <w:fldChar w:fldCharType="separate"/>
      </w:r>
      <w:r>
        <w:rPr>
          <w:rFonts w:hint="default" w:ascii="Times New Roman" w:hAnsi="Times New Roman" w:eastAsia="宋体" w:cs="Times New Roman"/>
        </w:rPr>
        <w:t>3</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2CC432F0">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_Toc28616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1.4 评价程序</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_Toc28616 \h </w:instrText>
      </w:r>
      <w:r>
        <w:rPr>
          <w:rFonts w:hint="default" w:ascii="Times New Roman" w:hAnsi="Times New Roman" w:eastAsia="宋体" w:cs="Times New Roman"/>
        </w:rPr>
        <w:fldChar w:fldCharType="separate"/>
      </w:r>
      <w:r>
        <w:rPr>
          <w:rFonts w:hint="default" w:ascii="Times New Roman" w:hAnsi="Times New Roman" w:eastAsia="宋体" w:cs="Times New Roman"/>
        </w:rPr>
        <w:t>10</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0350AD20">
      <w:pPr>
        <w:pStyle w:val="15"/>
        <w:keepNext w:val="0"/>
        <w:keepLines w:val="0"/>
        <w:pageBreakBefore w:val="0"/>
        <w:widowControl w:val="0"/>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_Toc22053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2. 建设项目概况</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_Toc22053 \h </w:instrText>
      </w:r>
      <w:r>
        <w:rPr>
          <w:rFonts w:hint="default" w:ascii="Times New Roman" w:hAnsi="Times New Roman" w:eastAsia="宋体" w:cs="Times New Roman"/>
        </w:rPr>
        <w:fldChar w:fldCharType="separate"/>
      </w:r>
      <w:r>
        <w:rPr>
          <w:rFonts w:hint="default" w:ascii="Times New Roman" w:hAnsi="Times New Roman" w:eastAsia="宋体" w:cs="Times New Roman"/>
        </w:rPr>
        <w:t>13</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1A00079B">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_Toc11123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2.1 建设单位简介</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_Toc11123 \h </w:instrText>
      </w:r>
      <w:r>
        <w:rPr>
          <w:rFonts w:hint="default" w:ascii="Times New Roman" w:hAnsi="Times New Roman" w:eastAsia="宋体" w:cs="Times New Roman"/>
        </w:rPr>
        <w:fldChar w:fldCharType="separate"/>
      </w:r>
      <w:r>
        <w:rPr>
          <w:rFonts w:hint="default" w:ascii="Times New Roman" w:hAnsi="Times New Roman" w:eastAsia="宋体" w:cs="Times New Roman"/>
        </w:rPr>
        <w:t>13</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32C60674">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_Toc16198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2.2 建设项目背景及概述</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_Toc16198 \h </w:instrText>
      </w:r>
      <w:r>
        <w:rPr>
          <w:rFonts w:hint="default" w:ascii="Times New Roman" w:hAnsi="Times New Roman" w:eastAsia="宋体" w:cs="Times New Roman"/>
        </w:rPr>
        <w:fldChar w:fldCharType="separate"/>
      </w:r>
      <w:r>
        <w:rPr>
          <w:rFonts w:hint="default" w:ascii="Times New Roman" w:hAnsi="Times New Roman" w:eastAsia="宋体" w:cs="Times New Roman"/>
        </w:rPr>
        <w:t>13</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639B4395">
      <w:pPr>
        <w:pStyle w:val="11"/>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_Toc455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2.2.1 项目背景</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_Toc455 \h </w:instrText>
      </w:r>
      <w:r>
        <w:rPr>
          <w:rFonts w:hint="default" w:ascii="Times New Roman" w:hAnsi="Times New Roman" w:eastAsia="宋体" w:cs="Times New Roman"/>
        </w:rPr>
        <w:fldChar w:fldCharType="separate"/>
      </w:r>
      <w:r>
        <w:rPr>
          <w:rFonts w:hint="default" w:ascii="Times New Roman" w:hAnsi="Times New Roman" w:eastAsia="宋体" w:cs="Times New Roman"/>
        </w:rPr>
        <w:t>13</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16FA029C">
      <w:pPr>
        <w:pStyle w:val="11"/>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_Toc21701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2.2.2 项目概述</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_Toc21701 \h </w:instrText>
      </w:r>
      <w:r>
        <w:rPr>
          <w:rFonts w:hint="default" w:ascii="Times New Roman" w:hAnsi="Times New Roman" w:eastAsia="宋体" w:cs="Times New Roman"/>
        </w:rPr>
        <w:fldChar w:fldCharType="separate"/>
      </w:r>
      <w:r>
        <w:rPr>
          <w:rFonts w:hint="default" w:ascii="Times New Roman" w:hAnsi="Times New Roman" w:eastAsia="宋体" w:cs="Times New Roman"/>
        </w:rPr>
        <w:t>13</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2941A4E4">
      <w:pPr>
        <w:pStyle w:val="11"/>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_Toc3832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2.2.3 项目“三同时”情况</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_Toc3832 \h </w:instrText>
      </w:r>
      <w:r>
        <w:rPr>
          <w:rFonts w:hint="default" w:ascii="Times New Roman" w:hAnsi="Times New Roman" w:eastAsia="宋体" w:cs="Times New Roman"/>
        </w:rPr>
        <w:fldChar w:fldCharType="separate"/>
      </w:r>
      <w:r>
        <w:rPr>
          <w:rFonts w:hint="default" w:ascii="Times New Roman" w:hAnsi="Times New Roman" w:eastAsia="宋体" w:cs="Times New Roman"/>
        </w:rPr>
        <w:t>14</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738288DD">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_Toc32455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2.3 建设项目选址概况</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_Toc32455 \h </w:instrText>
      </w:r>
      <w:r>
        <w:rPr>
          <w:rFonts w:hint="default" w:ascii="Times New Roman" w:hAnsi="Times New Roman" w:eastAsia="宋体" w:cs="Times New Roman"/>
        </w:rPr>
        <w:fldChar w:fldCharType="separate"/>
      </w:r>
      <w:r>
        <w:rPr>
          <w:rFonts w:hint="default" w:ascii="Times New Roman" w:hAnsi="Times New Roman" w:eastAsia="宋体" w:cs="Times New Roman"/>
        </w:rPr>
        <w:t>14</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3577B2BD">
      <w:pPr>
        <w:pStyle w:val="11"/>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_Toc27729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2.3.1 自然条件</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_Toc27729 \h </w:instrText>
      </w:r>
      <w:r>
        <w:rPr>
          <w:rFonts w:hint="default" w:ascii="Times New Roman" w:hAnsi="Times New Roman" w:eastAsia="宋体" w:cs="Times New Roman"/>
        </w:rPr>
        <w:fldChar w:fldCharType="separate"/>
      </w:r>
      <w:r>
        <w:rPr>
          <w:rFonts w:hint="default" w:ascii="Times New Roman" w:hAnsi="Times New Roman" w:eastAsia="宋体" w:cs="Times New Roman"/>
        </w:rPr>
        <w:t>14</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735BE4B8">
      <w:pPr>
        <w:pStyle w:val="11"/>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_Toc25663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2.3.2 周边环境</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_Toc25663 \h </w:instrText>
      </w:r>
      <w:r>
        <w:rPr>
          <w:rFonts w:hint="default" w:ascii="Times New Roman" w:hAnsi="Times New Roman" w:eastAsia="宋体" w:cs="Times New Roman"/>
        </w:rPr>
        <w:fldChar w:fldCharType="separate"/>
      </w:r>
      <w:r>
        <w:rPr>
          <w:rFonts w:hint="default" w:ascii="Times New Roman" w:hAnsi="Times New Roman" w:eastAsia="宋体" w:cs="Times New Roman"/>
        </w:rPr>
        <w:t>15</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70A871D2">
      <w:pPr>
        <w:pStyle w:val="11"/>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_Toc5252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2.3.3 外部依托</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_Toc5252 \h </w:instrText>
      </w:r>
      <w:r>
        <w:rPr>
          <w:rFonts w:hint="default" w:ascii="Times New Roman" w:hAnsi="Times New Roman" w:eastAsia="宋体" w:cs="Times New Roman"/>
        </w:rPr>
        <w:fldChar w:fldCharType="separate"/>
      </w:r>
      <w:r>
        <w:rPr>
          <w:rFonts w:hint="default" w:ascii="Times New Roman" w:hAnsi="Times New Roman" w:eastAsia="宋体" w:cs="Times New Roman"/>
        </w:rPr>
        <w:t>17</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05C50283">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_Toc28278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2.4 总平面布置</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_Toc28278 \h </w:instrText>
      </w:r>
      <w:r>
        <w:rPr>
          <w:rFonts w:hint="default" w:ascii="Times New Roman" w:hAnsi="Times New Roman" w:eastAsia="宋体" w:cs="Times New Roman"/>
        </w:rPr>
        <w:fldChar w:fldCharType="separate"/>
      </w:r>
      <w:r>
        <w:rPr>
          <w:rFonts w:hint="default" w:ascii="Times New Roman" w:hAnsi="Times New Roman" w:eastAsia="宋体" w:cs="Times New Roman"/>
        </w:rPr>
        <w:t>17</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73F9863A">
      <w:pPr>
        <w:pStyle w:val="11"/>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_Toc18320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2.4.1 总平面布置</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_Toc18320 \h </w:instrText>
      </w:r>
      <w:r>
        <w:rPr>
          <w:rFonts w:hint="default" w:ascii="Times New Roman" w:hAnsi="Times New Roman" w:eastAsia="宋体" w:cs="Times New Roman"/>
        </w:rPr>
        <w:fldChar w:fldCharType="separate"/>
      </w:r>
      <w:r>
        <w:rPr>
          <w:rFonts w:hint="default" w:ascii="Times New Roman" w:hAnsi="Times New Roman" w:eastAsia="宋体" w:cs="Times New Roman"/>
        </w:rPr>
        <w:t>17</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49E046D1">
      <w:pPr>
        <w:pStyle w:val="11"/>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_Toc20962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2.4.2 防火间距</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_Toc20962 \h </w:instrText>
      </w:r>
      <w:r>
        <w:rPr>
          <w:rFonts w:hint="default" w:ascii="Times New Roman" w:hAnsi="Times New Roman" w:eastAsia="宋体" w:cs="Times New Roman"/>
        </w:rPr>
        <w:fldChar w:fldCharType="separate"/>
      </w:r>
      <w:r>
        <w:rPr>
          <w:rFonts w:hint="default" w:ascii="Times New Roman" w:hAnsi="Times New Roman" w:eastAsia="宋体" w:cs="Times New Roman"/>
        </w:rPr>
        <w:t>18</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1F6887D0">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_Toc21179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2.5 建设项目工艺流程</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_Toc21179 \h </w:instrText>
      </w:r>
      <w:r>
        <w:rPr>
          <w:rFonts w:hint="default" w:ascii="Times New Roman" w:hAnsi="Times New Roman" w:eastAsia="宋体" w:cs="Times New Roman"/>
        </w:rPr>
        <w:fldChar w:fldCharType="separate"/>
      </w:r>
      <w:r>
        <w:rPr>
          <w:rFonts w:hint="default" w:ascii="Times New Roman" w:hAnsi="Times New Roman" w:eastAsia="宋体" w:cs="Times New Roman"/>
        </w:rPr>
        <w:t>18</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6CE3D628">
      <w:pPr>
        <w:pStyle w:val="11"/>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_Toc3763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2.5.1 工艺流程</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_Toc3763 \h </w:instrText>
      </w:r>
      <w:r>
        <w:rPr>
          <w:rFonts w:hint="default" w:ascii="Times New Roman" w:hAnsi="Times New Roman" w:eastAsia="宋体" w:cs="Times New Roman"/>
        </w:rPr>
        <w:fldChar w:fldCharType="separate"/>
      </w:r>
      <w:r>
        <w:rPr>
          <w:rFonts w:hint="default" w:ascii="Times New Roman" w:hAnsi="Times New Roman" w:eastAsia="宋体" w:cs="Times New Roman"/>
        </w:rPr>
        <w:t>18</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25220C47">
      <w:pPr>
        <w:pStyle w:val="11"/>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_Toc1392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2.5.2 上下游生产装置的关系</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_Toc1392 \h </w:instrText>
      </w:r>
      <w:r>
        <w:rPr>
          <w:rFonts w:hint="default" w:ascii="Times New Roman" w:hAnsi="Times New Roman" w:eastAsia="宋体" w:cs="Times New Roman"/>
        </w:rPr>
        <w:fldChar w:fldCharType="separate"/>
      </w:r>
      <w:r>
        <w:rPr>
          <w:rFonts w:hint="default" w:ascii="Times New Roman" w:hAnsi="Times New Roman" w:eastAsia="宋体" w:cs="Times New Roman"/>
        </w:rPr>
        <w:t>19</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153651BC">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_Toc11963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2.6 主要建构筑物、设备设施</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_Toc11963 \h </w:instrText>
      </w:r>
      <w:r>
        <w:rPr>
          <w:rFonts w:hint="default" w:ascii="Times New Roman" w:hAnsi="Times New Roman" w:eastAsia="宋体" w:cs="Times New Roman"/>
        </w:rPr>
        <w:fldChar w:fldCharType="separate"/>
      </w:r>
      <w:r>
        <w:rPr>
          <w:rFonts w:hint="default" w:ascii="Times New Roman" w:hAnsi="Times New Roman" w:eastAsia="宋体" w:cs="Times New Roman"/>
        </w:rPr>
        <w:t>19</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3180CCD4">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_Toc8709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2.7 公用工程</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_Toc8709 \h </w:instrText>
      </w:r>
      <w:r>
        <w:rPr>
          <w:rFonts w:hint="default" w:ascii="Times New Roman" w:hAnsi="Times New Roman" w:eastAsia="宋体" w:cs="Times New Roman"/>
        </w:rPr>
        <w:fldChar w:fldCharType="separate"/>
      </w:r>
      <w:r>
        <w:rPr>
          <w:rFonts w:hint="default" w:ascii="Times New Roman" w:hAnsi="Times New Roman" w:eastAsia="宋体" w:cs="Times New Roman"/>
        </w:rPr>
        <w:t>20</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0DCC20AD">
      <w:pPr>
        <w:pStyle w:val="11"/>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_Toc29594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2.7.1 供电</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_Toc29594 \h </w:instrText>
      </w:r>
      <w:r>
        <w:rPr>
          <w:rFonts w:hint="default" w:ascii="Times New Roman" w:hAnsi="Times New Roman" w:eastAsia="宋体" w:cs="Times New Roman"/>
        </w:rPr>
        <w:fldChar w:fldCharType="separate"/>
      </w:r>
      <w:r>
        <w:rPr>
          <w:rFonts w:hint="default" w:ascii="Times New Roman" w:hAnsi="Times New Roman" w:eastAsia="宋体" w:cs="Times New Roman"/>
        </w:rPr>
        <w:t>20</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6935FC2A">
      <w:pPr>
        <w:pStyle w:val="11"/>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_Toc20913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2.7.2 消防设施</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_Toc20913 \h </w:instrText>
      </w:r>
      <w:r>
        <w:rPr>
          <w:rFonts w:hint="default" w:ascii="Times New Roman" w:hAnsi="Times New Roman" w:eastAsia="宋体" w:cs="Times New Roman"/>
        </w:rPr>
        <w:fldChar w:fldCharType="separate"/>
      </w:r>
      <w:r>
        <w:rPr>
          <w:rFonts w:hint="default" w:ascii="Times New Roman" w:hAnsi="Times New Roman" w:eastAsia="宋体" w:cs="Times New Roman"/>
        </w:rPr>
        <w:t>21</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23EE4C4C">
      <w:pPr>
        <w:pStyle w:val="11"/>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_Toc32602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2.7.3 给排水</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_Toc32602 \h </w:instrText>
      </w:r>
      <w:r>
        <w:rPr>
          <w:rFonts w:hint="default" w:ascii="Times New Roman" w:hAnsi="Times New Roman" w:eastAsia="宋体" w:cs="Times New Roman"/>
        </w:rPr>
        <w:fldChar w:fldCharType="separate"/>
      </w:r>
      <w:r>
        <w:rPr>
          <w:rFonts w:hint="default" w:ascii="Times New Roman" w:hAnsi="Times New Roman" w:eastAsia="宋体" w:cs="Times New Roman"/>
        </w:rPr>
        <w:t>21</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3CF45D27">
      <w:pPr>
        <w:pStyle w:val="11"/>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_Toc7487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2.7.4 防雷、防静电</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_Toc7487 \h </w:instrText>
      </w:r>
      <w:r>
        <w:rPr>
          <w:rFonts w:hint="default" w:ascii="Times New Roman" w:hAnsi="Times New Roman" w:eastAsia="宋体" w:cs="Times New Roman"/>
        </w:rPr>
        <w:fldChar w:fldCharType="separate"/>
      </w:r>
      <w:r>
        <w:rPr>
          <w:rFonts w:hint="default" w:ascii="Times New Roman" w:hAnsi="Times New Roman" w:eastAsia="宋体" w:cs="Times New Roman"/>
        </w:rPr>
        <w:t>21</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181D0621">
      <w:pPr>
        <w:pStyle w:val="11"/>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_Toc4834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2.7.5 自控与仪表系统</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_Toc4834 \h </w:instrText>
      </w:r>
      <w:r>
        <w:rPr>
          <w:rFonts w:hint="default" w:ascii="Times New Roman" w:hAnsi="Times New Roman" w:eastAsia="宋体" w:cs="Times New Roman"/>
        </w:rPr>
        <w:fldChar w:fldCharType="separate"/>
      </w:r>
      <w:r>
        <w:rPr>
          <w:rFonts w:hint="default" w:ascii="Times New Roman" w:hAnsi="Times New Roman" w:eastAsia="宋体" w:cs="Times New Roman"/>
        </w:rPr>
        <w:t>23</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7F1EF3C7">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_Toc14395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2.8 安全管理</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_Toc14395 \h </w:instrText>
      </w:r>
      <w:r>
        <w:rPr>
          <w:rFonts w:hint="default" w:ascii="Times New Roman" w:hAnsi="Times New Roman" w:eastAsia="宋体" w:cs="Times New Roman"/>
        </w:rPr>
        <w:fldChar w:fldCharType="separate"/>
      </w:r>
      <w:r>
        <w:rPr>
          <w:rFonts w:hint="default" w:ascii="Times New Roman" w:hAnsi="Times New Roman" w:eastAsia="宋体" w:cs="Times New Roman"/>
        </w:rPr>
        <w:t>24</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5BA6B791">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_Toc6361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2.9 安全教育培训</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_Toc6361 \h </w:instrText>
      </w:r>
      <w:r>
        <w:rPr>
          <w:rFonts w:hint="default" w:ascii="Times New Roman" w:hAnsi="Times New Roman" w:eastAsia="宋体" w:cs="Times New Roman"/>
        </w:rPr>
        <w:fldChar w:fldCharType="separate"/>
      </w:r>
      <w:r>
        <w:rPr>
          <w:rFonts w:hint="default" w:ascii="Times New Roman" w:hAnsi="Times New Roman" w:eastAsia="宋体" w:cs="Times New Roman"/>
        </w:rPr>
        <w:t>26</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4AE6CD20">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_Toc6832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2.10 安全投入</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_Toc6832 \h </w:instrText>
      </w:r>
      <w:r>
        <w:rPr>
          <w:rFonts w:hint="default" w:ascii="Times New Roman" w:hAnsi="Times New Roman" w:eastAsia="宋体" w:cs="Times New Roman"/>
        </w:rPr>
        <w:fldChar w:fldCharType="separate"/>
      </w:r>
      <w:r>
        <w:rPr>
          <w:rFonts w:hint="default" w:ascii="Times New Roman" w:hAnsi="Times New Roman" w:eastAsia="宋体" w:cs="Times New Roman"/>
        </w:rPr>
        <w:t>26</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0A021348">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_Toc10500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2.11 事故应急救援</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_Toc10500 \h </w:instrText>
      </w:r>
      <w:r>
        <w:rPr>
          <w:rFonts w:hint="default" w:ascii="Times New Roman" w:hAnsi="Times New Roman" w:eastAsia="宋体" w:cs="Times New Roman"/>
        </w:rPr>
        <w:fldChar w:fldCharType="separate"/>
      </w:r>
      <w:r>
        <w:rPr>
          <w:rFonts w:hint="default" w:ascii="Times New Roman" w:hAnsi="Times New Roman" w:eastAsia="宋体" w:cs="Times New Roman"/>
        </w:rPr>
        <w:t>26</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1AE940BB">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_Toc1457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2.12 现场不安全项</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_Toc1457 \h </w:instrText>
      </w:r>
      <w:r>
        <w:rPr>
          <w:rFonts w:hint="default" w:ascii="Times New Roman" w:hAnsi="Times New Roman" w:eastAsia="宋体" w:cs="Times New Roman"/>
        </w:rPr>
        <w:fldChar w:fldCharType="separate"/>
      </w:r>
      <w:r>
        <w:rPr>
          <w:rFonts w:hint="default" w:ascii="Times New Roman" w:hAnsi="Times New Roman" w:eastAsia="宋体" w:cs="Times New Roman"/>
        </w:rPr>
        <w:t>26</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2C80B63D">
      <w:pPr>
        <w:pStyle w:val="15"/>
        <w:keepNext w:val="0"/>
        <w:keepLines w:val="0"/>
        <w:pageBreakBefore w:val="0"/>
        <w:widowControl w:val="0"/>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_Toc20251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3. 主要危险、有害因素辨识</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_Toc20251 \h </w:instrText>
      </w:r>
      <w:r>
        <w:rPr>
          <w:rFonts w:hint="default" w:ascii="Times New Roman" w:hAnsi="Times New Roman" w:eastAsia="宋体" w:cs="Times New Roman"/>
        </w:rPr>
        <w:fldChar w:fldCharType="separate"/>
      </w:r>
      <w:r>
        <w:rPr>
          <w:rFonts w:hint="default" w:ascii="Times New Roman" w:hAnsi="Times New Roman" w:eastAsia="宋体" w:cs="Times New Roman"/>
        </w:rPr>
        <w:t>28</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4DD0279B">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_Toc12606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3.1 物料的危险、有害因素分析</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_Toc12606 \h </w:instrText>
      </w:r>
      <w:r>
        <w:rPr>
          <w:rFonts w:hint="default" w:ascii="Times New Roman" w:hAnsi="Times New Roman" w:eastAsia="宋体" w:cs="Times New Roman"/>
        </w:rPr>
        <w:fldChar w:fldCharType="separate"/>
      </w:r>
      <w:r>
        <w:rPr>
          <w:rFonts w:hint="default" w:ascii="Times New Roman" w:hAnsi="Times New Roman" w:eastAsia="宋体" w:cs="Times New Roman"/>
        </w:rPr>
        <w:t>28</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2EBBF04D">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_Toc31136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3.2 危险化学品辨识</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_Toc31136 \h </w:instrText>
      </w:r>
      <w:r>
        <w:rPr>
          <w:rFonts w:hint="default" w:ascii="Times New Roman" w:hAnsi="Times New Roman" w:eastAsia="宋体" w:cs="Times New Roman"/>
        </w:rPr>
        <w:fldChar w:fldCharType="separate"/>
      </w:r>
      <w:r>
        <w:rPr>
          <w:rFonts w:hint="default" w:ascii="Times New Roman" w:hAnsi="Times New Roman" w:eastAsia="宋体" w:cs="Times New Roman"/>
        </w:rPr>
        <w:t>28</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7FA549C9">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_Toc5704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3.3 主要危险、有害因素辨识及分布情况</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_Toc5704 \h </w:instrText>
      </w:r>
      <w:r>
        <w:rPr>
          <w:rFonts w:hint="default" w:ascii="Times New Roman" w:hAnsi="Times New Roman" w:eastAsia="宋体" w:cs="Times New Roman"/>
        </w:rPr>
        <w:fldChar w:fldCharType="separate"/>
      </w:r>
      <w:r>
        <w:rPr>
          <w:rFonts w:hint="default" w:ascii="Times New Roman" w:hAnsi="Times New Roman" w:eastAsia="宋体" w:cs="Times New Roman"/>
        </w:rPr>
        <w:t>29</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12C389E5">
      <w:pPr>
        <w:pStyle w:val="11"/>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_Toc22610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3.3.1 主要危险因素辨识</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_Toc22610 \h </w:instrText>
      </w:r>
      <w:r>
        <w:rPr>
          <w:rFonts w:hint="default" w:ascii="Times New Roman" w:hAnsi="Times New Roman" w:eastAsia="宋体" w:cs="Times New Roman"/>
        </w:rPr>
        <w:fldChar w:fldCharType="separate"/>
      </w:r>
      <w:r>
        <w:rPr>
          <w:rFonts w:hint="default" w:ascii="Times New Roman" w:hAnsi="Times New Roman" w:eastAsia="宋体" w:cs="Times New Roman"/>
        </w:rPr>
        <w:t>29</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343F0412">
      <w:pPr>
        <w:pStyle w:val="11"/>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_Toc7649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3.3.2 主要有害因素辨识</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_Toc7649 \h </w:instrText>
      </w:r>
      <w:r>
        <w:rPr>
          <w:rFonts w:hint="default" w:ascii="Times New Roman" w:hAnsi="Times New Roman" w:eastAsia="宋体" w:cs="Times New Roman"/>
        </w:rPr>
        <w:fldChar w:fldCharType="separate"/>
      </w:r>
      <w:r>
        <w:rPr>
          <w:rFonts w:hint="default" w:ascii="Times New Roman" w:hAnsi="Times New Roman" w:eastAsia="宋体" w:cs="Times New Roman"/>
        </w:rPr>
        <w:t>32</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75C3ADF0">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_Toc28445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3.4 自然条件的影响因素</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_Toc28445 \h </w:instrText>
      </w:r>
      <w:r>
        <w:rPr>
          <w:rFonts w:hint="default" w:ascii="Times New Roman" w:hAnsi="Times New Roman" w:eastAsia="宋体" w:cs="Times New Roman"/>
        </w:rPr>
        <w:fldChar w:fldCharType="separate"/>
      </w:r>
      <w:r>
        <w:rPr>
          <w:rFonts w:hint="default" w:ascii="Times New Roman" w:hAnsi="Times New Roman" w:eastAsia="宋体" w:cs="Times New Roman"/>
        </w:rPr>
        <w:t>33</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27A58C18">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_Toc1754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3.5 重大危险源辨识</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_Toc1754 \h </w:instrText>
      </w:r>
      <w:r>
        <w:rPr>
          <w:rFonts w:hint="default" w:ascii="Times New Roman" w:hAnsi="Times New Roman" w:eastAsia="宋体" w:cs="Times New Roman"/>
        </w:rPr>
        <w:fldChar w:fldCharType="separate"/>
      </w:r>
      <w:r>
        <w:rPr>
          <w:rFonts w:hint="default" w:ascii="Times New Roman" w:hAnsi="Times New Roman" w:eastAsia="宋体" w:cs="Times New Roman"/>
        </w:rPr>
        <w:t>34</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51718C33">
      <w:pPr>
        <w:pStyle w:val="11"/>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_Toc2500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3.5.1 重大危险源辨识依据</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_Toc2500 \h </w:instrText>
      </w:r>
      <w:r>
        <w:rPr>
          <w:rFonts w:hint="default" w:ascii="Times New Roman" w:hAnsi="Times New Roman" w:eastAsia="宋体" w:cs="Times New Roman"/>
        </w:rPr>
        <w:fldChar w:fldCharType="separate"/>
      </w:r>
      <w:r>
        <w:rPr>
          <w:rFonts w:hint="default" w:ascii="Times New Roman" w:hAnsi="Times New Roman" w:eastAsia="宋体" w:cs="Times New Roman"/>
        </w:rPr>
        <w:t>34</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7682798E">
      <w:pPr>
        <w:pStyle w:val="11"/>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_Toc7513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3.5.2 危险化学品重大危险源的辨识情况</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_Toc7513 \h </w:instrText>
      </w:r>
      <w:r>
        <w:rPr>
          <w:rFonts w:hint="default" w:ascii="Times New Roman" w:hAnsi="Times New Roman" w:eastAsia="宋体" w:cs="Times New Roman"/>
        </w:rPr>
        <w:fldChar w:fldCharType="separate"/>
      </w:r>
      <w:r>
        <w:rPr>
          <w:rFonts w:hint="default" w:ascii="Times New Roman" w:hAnsi="Times New Roman" w:eastAsia="宋体" w:cs="Times New Roman"/>
        </w:rPr>
        <w:t>35</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0F8D1F35">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_Toc23953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3.6 重点监管的危险化学品辨识</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_Toc23953 \h </w:instrText>
      </w:r>
      <w:r>
        <w:rPr>
          <w:rFonts w:hint="default" w:ascii="Times New Roman" w:hAnsi="Times New Roman" w:eastAsia="宋体" w:cs="Times New Roman"/>
        </w:rPr>
        <w:fldChar w:fldCharType="separate"/>
      </w:r>
      <w:r>
        <w:rPr>
          <w:rFonts w:hint="default" w:ascii="Times New Roman" w:hAnsi="Times New Roman" w:eastAsia="宋体" w:cs="Times New Roman"/>
        </w:rPr>
        <w:t>36</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1A6570CE">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_Toc31798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3.7 危险化工工艺辨识</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_Toc31798 \h </w:instrText>
      </w:r>
      <w:r>
        <w:rPr>
          <w:rFonts w:hint="default" w:ascii="Times New Roman" w:hAnsi="Times New Roman" w:eastAsia="宋体" w:cs="Times New Roman"/>
        </w:rPr>
        <w:fldChar w:fldCharType="separate"/>
      </w:r>
      <w:r>
        <w:rPr>
          <w:rFonts w:hint="default" w:ascii="Times New Roman" w:hAnsi="Times New Roman" w:eastAsia="宋体" w:cs="Times New Roman"/>
        </w:rPr>
        <w:t>36</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23AA45D0">
      <w:pPr>
        <w:pStyle w:val="15"/>
        <w:keepNext w:val="0"/>
        <w:keepLines w:val="0"/>
        <w:pageBreakBefore w:val="0"/>
        <w:widowControl w:val="0"/>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_Toc20942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4. 安全对策措施落实及试运行</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_Toc20942 \h </w:instrText>
      </w:r>
      <w:r>
        <w:rPr>
          <w:rFonts w:hint="default" w:ascii="Times New Roman" w:hAnsi="Times New Roman" w:eastAsia="宋体" w:cs="Times New Roman"/>
        </w:rPr>
        <w:fldChar w:fldCharType="separate"/>
      </w:r>
      <w:r>
        <w:rPr>
          <w:rFonts w:hint="default" w:ascii="Times New Roman" w:hAnsi="Times New Roman" w:eastAsia="宋体" w:cs="Times New Roman"/>
        </w:rPr>
        <w:t>37</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5BC5CA47">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_Toc3612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4.1 安全对策措施落实情况</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_Toc3612 \h </w:instrText>
      </w:r>
      <w:r>
        <w:rPr>
          <w:rFonts w:hint="default" w:ascii="Times New Roman" w:hAnsi="Times New Roman" w:eastAsia="宋体" w:cs="Times New Roman"/>
        </w:rPr>
        <w:fldChar w:fldCharType="separate"/>
      </w:r>
      <w:r>
        <w:rPr>
          <w:rFonts w:hint="default" w:ascii="Times New Roman" w:hAnsi="Times New Roman" w:eastAsia="宋体" w:cs="Times New Roman"/>
        </w:rPr>
        <w:t>37</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625D46CB">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_Toc27872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4.2 竣工验收情况</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_Toc27872 \h </w:instrText>
      </w:r>
      <w:r>
        <w:rPr>
          <w:rFonts w:hint="default" w:ascii="Times New Roman" w:hAnsi="Times New Roman" w:eastAsia="宋体" w:cs="Times New Roman"/>
        </w:rPr>
        <w:fldChar w:fldCharType="separate"/>
      </w:r>
      <w:r>
        <w:rPr>
          <w:rFonts w:hint="default" w:ascii="Times New Roman" w:hAnsi="Times New Roman" w:eastAsia="宋体" w:cs="Times New Roman"/>
        </w:rPr>
        <w:t>44</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1838151D">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_Toc29883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4.3 设备检测情况</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_Toc29883 \h </w:instrText>
      </w:r>
      <w:r>
        <w:rPr>
          <w:rFonts w:hint="default" w:ascii="Times New Roman" w:hAnsi="Times New Roman" w:eastAsia="宋体" w:cs="Times New Roman"/>
        </w:rPr>
        <w:fldChar w:fldCharType="separate"/>
      </w:r>
      <w:r>
        <w:rPr>
          <w:rFonts w:hint="default" w:ascii="Times New Roman" w:hAnsi="Times New Roman" w:eastAsia="宋体" w:cs="Times New Roman"/>
        </w:rPr>
        <w:t>44</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7858B3E7">
      <w:pPr>
        <w:pStyle w:val="15"/>
        <w:keepNext w:val="0"/>
        <w:keepLines w:val="0"/>
        <w:pageBreakBefore w:val="0"/>
        <w:widowControl w:val="0"/>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_Toc4905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5. 评价单元和安全评价方法</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_Toc4905 \h </w:instrText>
      </w:r>
      <w:r>
        <w:rPr>
          <w:rFonts w:hint="default" w:ascii="Times New Roman" w:hAnsi="Times New Roman" w:eastAsia="宋体" w:cs="Times New Roman"/>
        </w:rPr>
        <w:fldChar w:fldCharType="separate"/>
      </w:r>
      <w:r>
        <w:rPr>
          <w:rFonts w:hint="default" w:ascii="Times New Roman" w:hAnsi="Times New Roman" w:eastAsia="宋体" w:cs="Times New Roman"/>
        </w:rPr>
        <w:t>45</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35488C68">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_Toc28307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5.1 评价单元的划分原则</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_Toc28307 \h </w:instrText>
      </w:r>
      <w:r>
        <w:rPr>
          <w:rFonts w:hint="default" w:ascii="Times New Roman" w:hAnsi="Times New Roman" w:eastAsia="宋体" w:cs="Times New Roman"/>
        </w:rPr>
        <w:fldChar w:fldCharType="separate"/>
      </w:r>
      <w:r>
        <w:rPr>
          <w:rFonts w:hint="default" w:ascii="Times New Roman" w:hAnsi="Times New Roman" w:eastAsia="宋体" w:cs="Times New Roman"/>
        </w:rPr>
        <w:t>45</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2F38D794">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_Toc28199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5.2 采用的安全评价方法及原因</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_Toc28199 \h </w:instrText>
      </w:r>
      <w:r>
        <w:rPr>
          <w:rFonts w:hint="default" w:ascii="Times New Roman" w:hAnsi="Times New Roman" w:eastAsia="宋体" w:cs="Times New Roman"/>
        </w:rPr>
        <w:fldChar w:fldCharType="separate"/>
      </w:r>
      <w:r>
        <w:rPr>
          <w:rFonts w:hint="default" w:ascii="Times New Roman" w:hAnsi="Times New Roman" w:eastAsia="宋体" w:cs="Times New Roman"/>
        </w:rPr>
        <w:t>45</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133B3666">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_Toc22565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5.3 各单元采用的安全评价方法</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_Toc22565 \h </w:instrText>
      </w:r>
      <w:r>
        <w:rPr>
          <w:rFonts w:hint="default" w:ascii="Times New Roman" w:hAnsi="Times New Roman" w:eastAsia="宋体" w:cs="Times New Roman"/>
        </w:rPr>
        <w:fldChar w:fldCharType="separate"/>
      </w:r>
      <w:r>
        <w:rPr>
          <w:rFonts w:hint="default" w:ascii="Times New Roman" w:hAnsi="Times New Roman" w:eastAsia="宋体" w:cs="Times New Roman"/>
        </w:rPr>
        <w:t>47</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5D71520C">
      <w:pPr>
        <w:pStyle w:val="15"/>
        <w:keepNext w:val="0"/>
        <w:keepLines w:val="0"/>
        <w:pageBreakBefore w:val="0"/>
        <w:widowControl w:val="0"/>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_Toc17772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6. 定性定量分析结果</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_Toc17772 \h </w:instrText>
      </w:r>
      <w:r>
        <w:rPr>
          <w:rFonts w:hint="default" w:ascii="Times New Roman" w:hAnsi="Times New Roman" w:eastAsia="宋体" w:cs="Times New Roman"/>
        </w:rPr>
        <w:fldChar w:fldCharType="separate"/>
      </w:r>
      <w:r>
        <w:rPr>
          <w:rFonts w:hint="default" w:ascii="Times New Roman" w:hAnsi="Times New Roman" w:eastAsia="宋体" w:cs="Times New Roman"/>
        </w:rPr>
        <w:t>48</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354C79A3">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_Toc2949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6.1 项目选址单元评价结果</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_Toc2949 \h </w:instrText>
      </w:r>
      <w:r>
        <w:rPr>
          <w:rFonts w:hint="default" w:ascii="Times New Roman" w:hAnsi="Times New Roman" w:eastAsia="宋体" w:cs="Times New Roman"/>
        </w:rPr>
        <w:fldChar w:fldCharType="separate"/>
      </w:r>
      <w:r>
        <w:rPr>
          <w:rFonts w:hint="default" w:ascii="Times New Roman" w:hAnsi="Times New Roman" w:eastAsia="宋体" w:cs="Times New Roman"/>
        </w:rPr>
        <w:t>48</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768AADDB">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_Toc8283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6.2 总平面布置单元评价结果</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_Toc8283 \h </w:instrText>
      </w:r>
      <w:r>
        <w:rPr>
          <w:rFonts w:hint="default" w:ascii="Times New Roman" w:hAnsi="Times New Roman" w:eastAsia="宋体" w:cs="Times New Roman"/>
        </w:rPr>
        <w:fldChar w:fldCharType="separate"/>
      </w:r>
      <w:r>
        <w:rPr>
          <w:rFonts w:hint="default" w:ascii="Times New Roman" w:hAnsi="Times New Roman" w:eastAsia="宋体" w:cs="Times New Roman"/>
        </w:rPr>
        <w:t>48</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6576917E">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_Toc14758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6.3 生产工艺及装置设施单元评价结果</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_Toc14758 \h </w:instrText>
      </w:r>
      <w:r>
        <w:rPr>
          <w:rFonts w:hint="default" w:ascii="Times New Roman" w:hAnsi="Times New Roman" w:eastAsia="宋体" w:cs="Times New Roman"/>
        </w:rPr>
        <w:fldChar w:fldCharType="separate"/>
      </w:r>
      <w:r>
        <w:rPr>
          <w:rFonts w:hint="default" w:ascii="Times New Roman" w:hAnsi="Times New Roman" w:eastAsia="宋体" w:cs="Times New Roman"/>
        </w:rPr>
        <w:t>48</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7E89C5AB">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_Toc32466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6.4 公用工程及辅助配套设施单元评价结果</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_Toc32466 \h </w:instrText>
      </w:r>
      <w:r>
        <w:rPr>
          <w:rFonts w:hint="default" w:ascii="Times New Roman" w:hAnsi="Times New Roman" w:eastAsia="宋体" w:cs="Times New Roman"/>
        </w:rPr>
        <w:fldChar w:fldCharType="separate"/>
      </w:r>
      <w:r>
        <w:rPr>
          <w:rFonts w:hint="default" w:ascii="Times New Roman" w:hAnsi="Times New Roman" w:eastAsia="宋体" w:cs="Times New Roman"/>
        </w:rPr>
        <w:t>48</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3C14F798">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_Toc29396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6.5 安全管理单元评价结果</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_Toc29396 \h </w:instrText>
      </w:r>
      <w:r>
        <w:rPr>
          <w:rFonts w:hint="default" w:ascii="Times New Roman" w:hAnsi="Times New Roman" w:eastAsia="宋体" w:cs="Times New Roman"/>
        </w:rPr>
        <w:fldChar w:fldCharType="separate"/>
      </w:r>
      <w:r>
        <w:rPr>
          <w:rFonts w:hint="default" w:ascii="Times New Roman" w:hAnsi="Times New Roman" w:eastAsia="宋体" w:cs="Times New Roman"/>
        </w:rPr>
        <w:t>49</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0EB07E0A">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_Toc10285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6.6 重大事故隐患检查结果</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_Toc10285 \h </w:instrText>
      </w:r>
      <w:r>
        <w:rPr>
          <w:rFonts w:hint="default" w:ascii="Times New Roman" w:hAnsi="Times New Roman" w:eastAsia="宋体" w:cs="Times New Roman"/>
        </w:rPr>
        <w:fldChar w:fldCharType="separate"/>
      </w:r>
      <w:r>
        <w:rPr>
          <w:rFonts w:hint="default" w:ascii="Times New Roman" w:hAnsi="Times New Roman" w:eastAsia="宋体" w:cs="Times New Roman"/>
        </w:rPr>
        <w:t>49</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281FB533">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_Toc57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6.7 典型事故案例分析</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_Toc57 \h </w:instrText>
      </w:r>
      <w:r>
        <w:rPr>
          <w:rFonts w:hint="default" w:ascii="Times New Roman" w:hAnsi="Times New Roman" w:eastAsia="宋体" w:cs="Times New Roman"/>
        </w:rPr>
        <w:fldChar w:fldCharType="separate"/>
      </w:r>
      <w:r>
        <w:rPr>
          <w:rFonts w:hint="default" w:ascii="Times New Roman" w:hAnsi="Times New Roman" w:eastAsia="宋体" w:cs="Times New Roman"/>
        </w:rPr>
        <w:t>49</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6B01B9B7">
      <w:pPr>
        <w:pStyle w:val="15"/>
        <w:keepNext w:val="0"/>
        <w:keepLines w:val="0"/>
        <w:pageBreakBefore w:val="0"/>
        <w:widowControl w:val="0"/>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_Toc19262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7. 建设项目安全对策措施及建议</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_Toc19262 \h </w:instrText>
      </w:r>
      <w:r>
        <w:rPr>
          <w:rFonts w:hint="default" w:ascii="Times New Roman" w:hAnsi="Times New Roman" w:eastAsia="宋体" w:cs="Times New Roman"/>
        </w:rPr>
        <w:fldChar w:fldCharType="separate"/>
      </w:r>
      <w:r>
        <w:rPr>
          <w:rFonts w:hint="default" w:ascii="Times New Roman" w:hAnsi="Times New Roman" w:eastAsia="宋体" w:cs="Times New Roman"/>
        </w:rPr>
        <w:t>51</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3BD88BE5">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_Toc32359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7.1 现场检查问题及整改情况</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_Toc32359 \h </w:instrText>
      </w:r>
      <w:r>
        <w:rPr>
          <w:rFonts w:hint="default" w:ascii="Times New Roman" w:hAnsi="Times New Roman" w:eastAsia="宋体" w:cs="Times New Roman"/>
        </w:rPr>
        <w:fldChar w:fldCharType="separate"/>
      </w:r>
      <w:r>
        <w:rPr>
          <w:rFonts w:hint="default" w:ascii="Times New Roman" w:hAnsi="Times New Roman" w:eastAsia="宋体" w:cs="Times New Roman"/>
        </w:rPr>
        <w:t>51</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7FEFEBF4">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_Toc16177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7.2 安全验收专家评审现场检查问题及整改情况</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_Toc16177 \h </w:instrText>
      </w:r>
      <w:r>
        <w:rPr>
          <w:rFonts w:hint="default" w:ascii="Times New Roman" w:hAnsi="Times New Roman" w:eastAsia="宋体" w:cs="Times New Roman"/>
        </w:rPr>
        <w:fldChar w:fldCharType="separate"/>
      </w:r>
      <w:r>
        <w:rPr>
          <w:rFonts w:hint="default" w:ascii="Times New Roman" w:hAnsi="Times New Roman" w:eastAsia="宋体" w:cs="Times New Roman"/>
        </w:rPr>
        <w:t>51</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01503CF9">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_Toc26931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7.3 安全对策措施及建议</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_Toc26931 \h </w:instrText>
      </w:r>
      <w:r>
        <w:rPr>
          <w:rFonts w:hint="default" w:ascii="Times New Roman" w:hAnsi="Times New Roman" w:eastAsia="宋体" w:cs="Times New Roman"/>
        </w:rPr>
        <w:fldChar w:fldCharType="separate"/>
      </w:r>
      <w:r>
        <w:rPr>
          <w:rFonts w:hint="default" w:ascii="Times New Roman" w:hAnsi="Times New Roman" w:eastAsia="宋体" w:cs="Times New Roman"/>
        </w:rPr>
        <w:t>52</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49C459C8">
      <w:pPr>
        <w:pStyle w:val="11"/>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_Toc29820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7.3.1 安全管理方面的对策措施及建议</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_Toc29820 \h </w:instrText>
      </w:r>
      <w:r>
        <w:rPr>
          <w:rFonts w:hint="default" w:ascii="Times New Roman" w:hAnsi="Times New Roman" w:eastAsia="宋体" w:cs="Times New Roman"/>
        </w:rPr>
        <w:fldChar w:fldCharType="separate"/>
      </w:r>
      <w:r>
        <w:rPr>
          <w:rFonts w:hint="default" w:ascii="Times New Roman" w:hAnsi="Times New Roman" w:eastAsia="宋体" w:cs="Times New Roman"/>
        </w:rPr>
        <w:t>52</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2BF75C59">
      <w:pPr>
        <w:pStyle w:val="11"/>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_Toc2919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7.3.2 工艺装置方面的对策措施及建议</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_Toc2919 \h </w:instrText>
      </w:r>
      <w:r>
        <w:rPr>
          <w:rFonts w:hint="default" w:ascii="Times New Roman" w:hAnsi="Times New Roman" w:eastAsia="宋体" w:cs="Times New Roman"/>
        </w:rPr>
        <w:fldChar w:fldCharType="separate"/>
      </w:r>
      <w:r>
        <w:rPr>
          <w:rFonts w:hint="default" w:ascii="Times New Roman" w:hAnsi="Times New Roman" w:eastAsia="宋体" w:cs="Times New Roman"/>
        </w:rPr>
        <w:t>53</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45DA58D5">
      <w:pPr>
        <w:pStyle w:val="11"/>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_Toc24128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7.3.3 应急救援方面的对策措施及建议</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_Toc24128 \h </w:instrText>
      </w:r>
      <w:r>
        <w:rPr>
          <w:rFonts w:hint="default" w:ascii="Times New Roman" w:hAnsi="Times New Roman" w:eastAsia="宋体" w:cs="Times New Roman"/>
        </w:rPr>
        <w:fldChar w:fldCharType="separate"/>
      </w:r>
      <w:r>
        <w:rPr>
          <w:rFonts w:hint="default" w:ascii="Times New Roman" w:hAnsi="Times New Roman" w:eastAsia="宋体" w:cs="Times New Roman"/>
        </w:rPr>
        <w:t>54</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1299DFA3">
      <w:pPr>
        <w:pStyle w:val="15"/>
        <w:keepNext w:val="0"/>
        <w:keepLines w:val="0"/>
        <w:pageBreakBefore w:val="0"/>
        <w:widowControl w:val="0"/>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_Toc6426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8. 验收评价结论</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_Toc6426 \h </w:instrText>
      </w:r>
      <w:r>
        <w:rPr>
          <w:rFonts w:hint="default" w:ascii="Times New Roman" w:hAnsi="Times New Roman" w:eastAsia="宋体" w:cs="Times New Roman"/>
        </w:rPr>
        <w:fldChar w:fldCharType="separate"/>
      </w:r>
      <w:r>
        <w:rPr>
          <w:rFonts w:hint="default" w:ascii="Times New Roman" w:hAnsi="Times New Roman" w:eastAsia="宋体" w:cs="Times New Roman"/>
        </w:rPr>
        <w:t>55</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07D01570">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_Toc8138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8.1 综合评价</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_Toc8138 \h </w:instrText>
      </w:r>
      <w:r>
        <w:rPr>
          <w:rFonts w:hint="default" w:ascii="Times New Roman" w:hAnsi="Times New Roman" w:eastAsia="宋体" w:cs="Times New Roman"/>
        </w:rPr>
        <w:fldChar w:fldCharType="separate"/>
      </w:r>
      <w:r>
        <w:rPr>
          <w:rFonts w:hint="default" w:ascii="Times New Roman" w:hAnsi="Times New Roman" w:eastAsia="宋体" w:cs="Times New Roman"/>
        </w:rPr>
        <w:t>55</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27280EC7">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_Toc12718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8.2 评价结论</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_Toc12718 \h </w:instrText>
      </w:r>
      <w:r>
        <w:rPr>
          <w:rFonts w:hint="default" w:ascii="Times New Roman" w:hAnsi="Times New Roman" w:eastAsia="宋体" w:cs="Times New Roman"/>
        </w:rPr>
        <w:fldChar w:fldCharType="separate"/>
      </w:r>
      <w:r>
        <w:rPr>
          <w:rFonts w:hint="default" w:ascii="Times New Roman" w:hAnsi="Times New Roman" w:eastAsia="宋体" w:cs="Times New Roman"/>
        </w:rPr>
        <w:t>56</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7DF4C124">
      <w:pPr>
        <w:pStyle w:val="15"/>
        <w:keepNext w:val="0"/>
        <w:keepLines w:val="0"/>
        <w:pageBreakBefore w:val="0"/>
        <w:widowControl w:val="0"/>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_Toc26395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9. 与建设单位交换意见结果</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_Toc26395 \h </w:instrText>
      </w:r>
      <w:r>
        <w:rPr>
          <w:rFonts w:hint="default" w:ascii="Times New Roman" w:hAnsi="Times New Roman" w:eastAsia="宋体" w:cs="Times New Roman"/>
        </w:rPr>
        <w:fldChar w:fldCharType="separate"/>
      </w:r>
      <w:r>
        <w:rPr>
          <w:rFonts w:hint="default" w:ascii="Times New Roman" w:hAnsi="Times New Roman" w:eastAsia="宋体" w:cs="Times New Roman"/>
        </w:rPr>
        <w:t>57</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7BB134DD">
      <w:pPr>
        <w:pStyle w:val="15"/>
        <w:keepNext w:val="0"/>
        <w:keepLines w:val="0"/>
        <w:pageBreakBefore w:val="0"/>
        <w:widowControl w:val="0"/>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_Toc25751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F1 危险物质理化性质</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_Toc25751 \h </w:instrText>
      </w:r>
      <w:r>
        <w:rPr>
          <w:rFonts w:hint="default" w:ascii="Times New Roman" w:hAnsi="Times New Roman" w:eastAsia="宋体" w:cs="Times New Roman"/>
        </w:rPr>
        <w:fldChar w:fldCharType="separate"/>
      </w:r>
      <w:r>
        <w:rPr>
          <w:rFonts w:hint="default" w:ascii="Times New Roman" w:hAnsi="Times New Roman" w:eastAsia="宋体" w:cs="Times New Roman"/>
        </w:rPr>
        <w:t>58</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4F8163FB">
      <w:pPr>
        <w:pStyle w:val="15"/>
        <w:keepNext w:val="0"/>
        <w:keepLines w:val="0"/>
        <w:pageBreakBefore w:val="0"/>
        <w:widowControl w:val="0"/>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_Toc3964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F2 选用的评价方法简介</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_Toc3964 \h </w:instrText>
      </w:r>
      <w:r>
        <w:rPr>
          <w:rFonts w:hint="default" w:ascii="Times New Roman" w:hAnsi="Times New Roman" w:eastAsia="宋体" w:cs="Times New Roman"/>
        </w:rPr>
        <w:fldChar w:fldCharType="separate"/>
      </w:r>
      <w:r>
        <w:rPr>
          <w:rFonts w:hint="default" w:ascii="Times New Roman" w:hAnsi="Times New Roman" w:eastAsia="宋体" w:cs="Times New Roman"/>
        </w:rPr>
        <w:t>59</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3139BF9D">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_Toc4432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F2.1 安全检查表法（SCL）</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_Toc4432 \h </w:instrText>
      </w:r>
      <w:r>
        <w:rPr>
          <w:rFonts w:hint="default" w:ascii="Times New Roman" w:hAnsi="Times New Roman" w:eastAsia="宋体" w:cs="Times New Roman"/>
        </w:rPr>
        <w:fldChar w:fldCharType="separate"/>
      </w:r>
      <w:r>
        <w:rPr>
          <w:rFonts w:hint="default" w:ascii="Times New Roman" w:hAnsi="Times New Roman" w:eastAsia="宋体" w:cs="Times New Roman"/>
        </w:rPr>
        <w:t>59</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2A3BFBB3">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_Toc3191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F2.2 危险度分析法</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_Toc3191 \h </w:instrText>
      </w:r>
      <w:r>
        <w:rPr>
          <w:rFonts w:hint="default" w:ascii="Times New Roman" w:hAnsi="Times New Roman" w:eastAsia="宋体" w:cs="Times New Roman"/>
        </w:rPr>
        <w:fldChar w:fldCharType="separate"/>
      </w:r>
      <w:r>
        <w:rPr>
          <w:rFonts w:hint="default" w:ascii="Times New Roman" w:hAnsi="Times New Roman" w:eastAsia="宋体" w:cs="Times New Roman"/>
        </w:rPr>
        <w:t>59</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6F4DE0D6">
      <w:pPr>
        <w:pStyle w:val="15"/>
        <w:keepNext w:val="0"/>
        <w:keepLines w:val="0"/>
        <w:pageBreakBefore w:val="0"/>
        <w:widowControl w:val="0"/>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_Toc16522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F3 定性定量评价过程</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_Toc16522 \h </w:instrText>
      </w:r>
      <w:r>
        <w:rPr>
          <w:rFonts w:hint="default" w:ascii="Times New Roman" w:hAnsi="Times New Roman" w:eastAsia="宋体" w:cs="Times New Roman"/>
        </w:rPr>
        <w:fldChar w:fldCharType="separate"/>
      </w:r>
      <w:r>
        <w:rPr>
          <w:rFonts w:hint="default" w:ascii="Times New Roman" w:hAnsi="Times New Roman" w:eastAsia="宋体" w:cs="Times New Roman"/>
        </w:rPr>
        <w:t>61</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4C389A96">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_Toc32108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F3.1 项目选址单元安全检查表</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_Toc32108 \h </w:instrText>
      </w:r>
      <w:r>
        <w:rPr>
          <w:rFonts w:hint="default" w:ascii="Times New Roman" w:hAnsi="Times New Roman" w:eastAsia="宋体" w:cs="Times New Roman"/>
        </w:rPr>
        <w:fldChar w:fldCharType="separate"/>
      </w:r>
      <w:r>
        <w:rPr>
          <w:rFonts w:hint="default" w:ascii="Times New Roman" w:hAnsi="Times New Roman" w:eastAsia="宋体" w:cs="Times New Roman"/>
        </w:rPr>
        <w:t>61</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4A3270DA">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_Toc7778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F3.2 总平面布置及建筑结构单元安全检查表</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_Toc7778 \h </w:instrText>
      </w:r>
      <w:r>
        <w:rPr>
          <w:rFonts w:hint="default" w:ascii="Times New Roman" w:hAnsi="Times New Roman" w:eastAsia="宋体" w:cs="Times New Roman"/>
        </w:rPr>
        <w:fldChar w:fldCharType="separate"/>
      </w:r>
      <w:r>
        <w:rPr>
          <w:rFonts w:hint="default" w:ascii="Times New Roman" w:hAnsi="Times New Roman" w:eastAsia="宋体" w:cs="Times New Roman"/>
        </w:rPr>
        <w:t>61</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28AD940F">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_Toc19422 </w:instrText>
      </w:r>
      <w:r>
        <w:rPr>
          <w:rFonts w:hint="default" w:ascii="Times New Roman" w:hAnsi="Times New Roman" w:eastAsia="宋体" w:cs="Times New Roman"/>
        </w:rPr>
        <w:fldChar w:fldCharType="separate"/>
      </w:r>
      <w:r>
        <w:rPr>
          <w:rFonts w:hint="default" w:ascii="Times New Roman" w:hAnsi="Times New Roman" w:eastAsia="宋体" w:cs="Times New Roman"/>
        </w:rPr>
        <w:t>F3.3 生产工艺及装置设施单元安全检查表</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_Toc19422 \h </w:instrText>
      </w:r>
      <w:r>
        <w:rPr>
          <w:rFonts w:hint="default" w:ascii="Times New Roman" w:hAnsi="Times New Roman" w:eastAsia="宋体" w:cs="Times New Roman"/>
        </w:rPr>
        <w:fldChar w:fldCharType="separate"/>
      </w:r>
      <w:r>
        <w:rPr>
          <w:rFonts w:hint="default" w:ascii="Times New Roman" w:hAnsi="Times New Roman" w:eastAsia="宋体" w:cs="Times New Roman"/>
        </w:rPr>
        <w:t>63</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6A5EF454">
      <w:pPr>
        <w:pStyle w:val="11"/>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_Toc3270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F3.3.1 生产工艺及装置设施单元安全检查表</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_Toc3270 \h </w:instrText>
      </w:r>
      <w:r>
        <w:rPr>
          <w:rFonts w:hint="default" w:ascii="Times New Roman" w:hAnsi="Times New Roman" w:eastAsia="宋体" w:cs="Times New Roman"/>
        </w:rPr>
        <w:fldChar w:fldCharType="separate"/>
      </w:r>
      <w:r>
        <w:rPr>
          <w:rFonts w:hint="default" w:ascii="Times New Roman" w:hAnsi="Times New Roman" w:eastAsia="宋体" w:cs="Times New Roman"/>
        </w:rPr>
        <w:t>63</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0C8449E6">
      <w:pPr>
        <w:pStyle w:val="11"/>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_Toc16039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F3.3.2 危险性分析评价</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_Toc16039 \h </w:instrText>
      </w:r>
      <w:r>
        <w:rPr>
          <w:rFonts w:hint="default" w:ascii="Times New Roman" w:hAnsi="Times New Roman" w:eastAsia="宋体" w:cs="Times New Roman"/>
        </w:rPr>
        <w:fldChar w:fldCharType="separate"/>
      </w:r>
      <w:r>
        <w:rPr>
          <w:rFonts w:hint="default" w:ascii="Times New Roman" w:hAnsi="Times New Roman" w:eastAsia="宋体" w:cs="Times New Roman"/>
        </w:rPr>
        <w:t>65</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7C02DEFC">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_Toc6436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F3.4 公用工程及辅助配套设施单元安全检查表</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_Toc6436 \h </w:instrText>
      </w:r>
      <w:r>
        <w:rPr>
          <w:rFonts w:hint="default" w:ascii="Times New Roman" w:hAnsi="Times New Roman" w:eastAsia="宋体" w:cs="Times New Roman"/>
        </w:rPr>
        <w:fldChar w:fldCharType="separate"/>
      </w:r>
      <w:r>
        <w:rPr>
          <w:rFonts w:hint="default" w:ascii="Times New Roman" w:hAnsi="Times New Roman" w:eastAsia="宋体" w:cs="Times New Roman"/>
        </w:rPr>
        <w:t>66</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2BE2D62A">
      <w:pPr>
        <w:pStyle w:val="11"/>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_Toc3967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F3.4.1 加油站消防设施及给排水符合性评价</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_Toc3967 \h </w:instrText>
      </w:r>
      <w:r>
        <w:rPr>
          <w:rFonts w:hint="default" w:ascii="Times New Roman" w:hAnsi="Times New Roman" w:eastAsia="宋体" w:cs="Times New Roman"/>
        </w:rPr>
        <w:fldChar w:fldCharType="separate"/>
      </w:r>
      <w:r>
        <w:rPr>
          <w:rFonts w:hint="default" w:ascii="Times New Roman" w:hAnsi="Times New Roman" w:eastAsia="宋体" w:cs="Times New Roman"/>
        </w:rPr>
        <w:t>66</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02F65291">
      <w:pPr>
        <w:pStyle w:val="11"/>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_Toc22637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F3.4.2 加油站电气、报警和紧急切断系统符合性评价</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_Toc22637 \h </w:instrText>
      </w:r>
      <w:r>
        <w:rPr>
          <w:rFonts w:hint="default" w:ascii="Times New Roman" w:hAnsi="Times New Roman" w:eastAsia="宋体" w:cs="Times New Roman"/>
        </w:rPr>
        <w:fldChar w:fldCharType="separate"/>
      </w:r>
      <w:r>
        <w:rPr>
          <w:rFonts w:hint="default" w:ascii="Times New Roman" w:hAnsi="Times New Roman" w:eastAsia="宋体" w:cs="Times New Roman"/>
        </w:rPr>
        <w:t>67</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402B2793">
      <w:pPr>
        <w:pStyle w:val="11"/>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_Toc344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F3.4.3 加油站采暖通风、建（构）筑物、绿化符合性评价</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_Toc344 \h </w:instrText>
      </w:r>
      <w:r>
        <w:rPr>
          <w:rFonts w:hint="default" w:ascii="Times New Roman" w:hAnsi="Times New Roman" w:eastAsia="宋体" w:cs="Times New Roman"/>
        </w:rPr>
        <w:fldChar w:fldCharType="separate"/>
      </w:r>
      <w:r>
        <w:rPr>
          <w:rFonts w:hint="default" w:ascii="Times New Roman" w:hAnsi="Times New Roman" w:eastAsia="宋体" w:cs="Times New Roman"/>
        </w:rPr>
        <w:t>70</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72FDFE6E">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_Toc9318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F3.5 安全管理评价单元安全检查表</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_Toc9318 \h </w:instrText>
      </w:r>
      <w:r>
        <w:rPr>
          <w:rFonts w:hint="default" w:ascii="Times New Roman" w:hAnsi="Times New Roman" w:eastAsia="宋体" w:cs="Times New Roman"/>
        </w:rPr>
        <w:fldChar w:fldCharType="separate"/>
      </w:r>
      <w:r>
        <w:rPr>
          <w:rFonts w:hint="default" w:ascii="Times New Roman" w:hAnsi="Times New Roman" w:eastAsia="宋体" w:cs="Times New Roman"/>
        </w:rPr>
        <w:t>72</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3841AA92">
      <w:pPr>
        <w:pStyle w:val="16"/>
        <w:keepNext w:val="0"/>
        <w:keepLines w:val="0"/>
        <w:pageBreakBefore w:val="0"/>
        <w:widowControl w:val="0"/>
        <w:tabs>
          <w:tab w:val="right" w:leader="dot" w:pos="9072"/>
        </w:tabs>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_Toc9981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F3.6 重大生产安全事故隐患检查</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_Toc9981 \h </w:instrText>
      </w:r>
      <w:r>
        <w:rPr>
          <w:rFonts w:hint="default" w:ascii="Times New Roman" w:hAnsi="Times New Roman" w:eastAsia="宋体" w:cs="Times New Roman"/>
        </w:rPr>
        <w:fldChar w:fldCharType="separate"/>
      </w:r>
      <w:r>
        <w:rPr>
          <w:rFonts w:hint="default" w:ascii="Times New Roman" w:hAnsi="Times New Roman" w:eastAsia="宋体" w:cs="Times New Roman"/>
        </w:rPr>
        <w:t>73</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3772CCAF">
      <w:pPr>
        <w:pStyle w:val="15"/>
        <w:keepNext w:val="0"/>
        <w:keepLines w:val="0"/>
        <w:pageBreakBefore w:val="0"/>
        <w:widowControl w:val="0"/>
        <w:kinsoku/>
        <w:wordWrap/>
        <w:overflowPunct/>
        <w:topLinePunct w:val="0"/>
        <w:autoSpaceDE/>
        <w:autoSpaceDN/>
        <w:bidi w:val="0"/>
        <w:adjustRightInd/>
        <w:snapToGrid/>
        <w:spacing w:line="324" w:lineRule="auto"/>
        <w:ind w:firstLine="0" w:firstLineChars="0"/>
        <w:textAlignment w:val="auto"/>
        <w:rPr>
          <w:rFonts w:hint="default" w:ascii="Times New Roman" w:hAnsi="Times New Roman" w:eastAsia="宋体" w:cs="Times New Roman"/>
        </w:rPr>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_Toc19554 </w:instrText>
      </w:r>
      <w:r>
        <w:rPr>
          <w:rFonts w:hint="default" w:ascii="Times New Roman" w:hAnsi="Times New Roman" w:eastAsia="宋体" w:cs="Times New Roman"/>
        </w:rPr>
        <w:fldChar w:fldCharType="separate"/>
      </w:r>
      <w:r>
        <w:rPr>
          <w:rFonts w:hint="default" w:ascii="Times New Roman" w:hAnsi="Times New Roman" w:eastAsia="宋体" w:cs="Times New Roman"/>
          <w:lang w:val="en-US" w:eastAsia="zh-CN"/>
        </w:rPr>
        <w:t>F4 企业提供的文件、资料</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_Toc19554 \h </w:instrText>
      </w:r>
      <w:r>
        <w:rPr>
          <w:rFonts w:hint="default" w:ascii="Times New Roman" w:hAnsi="Times New Roman" w:eastAsia="宋体" w:cs="Times New Roman"/>
        </w:rPr>
        <w:fldChar w:fldCharType="separate"/>
      </w:r>
      <w:r>
        <w:rPr>
          <w:rFonts w:hint="default" w:ascii="Times New Roman" w:hAnsi="Times New Roman" w:eastAsia="宋体" w:cs="Times New Roman"/>
        </w:rPr>
        <w:t>76</w:t>
      </w:r>
      <w:r>
        <w:rPr>
          <w:rFonts w:hint="default" w:ascii="Times New Roman" w:hAnsi="Times New Roman" w:eastAsia="宋体" w:cs="Times New Roman"/>
        </w:rPr>
        <w:fldChar w:fldCharType="end"/>
      </w:r>
      <w:r>
        <w:rPr>
          <w:rFonts w:hint="default" w:ascii="Times New Roman" w:hAnsi="Times New Roman" w:eastAsia="宋体" w:cs="Times New Roman"/>
          <w:color w:val="auto"/>
        </w:rPr>
        <w:fldChar w:fldCharType="end"/>
      </w:r>
    </w:p>
    <w:p w14:paraId="508ADF29">
      <w:pPr>
        <w:keepNext w:val="0"/>
        <w:keepLines w:val="0"/>
        <w:pageBreakBefore w:val="0"/>
        <w:widowControl w:val="0"/>
        <w:kinsoku/>
        <w:wordWrap/>
        <w:overflowPunct/>
        <w:topLinePunct w:val="0"/>
        <w:autoSpaceDE/>
        <w:autoSpaceDN/>
        <w:bidi w:val="0"/>
        <w:adjustRightInd/>
        <w:snapToGrid/>
        <w:spacing w:line="324" w:lineRule="auto"/>
        <w:ind w:firstLine="0" w:firstLineChars="0"/>
        <w:textAlignment w:val="auto"/>
        <w:rPr>
          <w:color w:val="auto"/>
        </w:rPr>
      </w:pPr>
      <w:r>
        <w:rPr>
          <w:rFonts w:hint="default" w:ascii="Times New Roman" w:hAnsi="Times New Roman" w:eastAsia="宋体" w:cs="Times New Roman"/>
          <w:color w:val="auto"/>
        </w:rPr>
        <w:fldChar w:fldCharType="end"/>
      </w:r>
    </w:p>
    <w:p w14:paraId="647FC42F">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color w:val="auto"/>
        </w:rPr>
      </w:pPr>
      <w:r>
        <w:rPr>
          <w:color w:val="auto"/>
        </w:rPr>
        <w:br w:type="page"/>
      </w:r>
    </w:p>
    <w:p w14:paraId="5A58A2CB">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b/>
          <w:bCs/>
          <w:color w:val="auto"/>
          <w:sz w:val="32"/>
          <w:szCs w:val="32"/>
          <w:lang w:eastAsia="zh-CN"/>
        </w:rPr>
        <w:sectPr>
          <w:headerReference r:id="rId5" w:type="default"/>
          <w:footerReference r:id="rId6" w:type="default"/>
          <w:pgSz w:w="11906" w:h="16839"/>
          <w:pgMar w:top="1417" w:right="1417" w:bottom="1417" w:left="1417" w:header="850" w:footer="992" w:gutter="0"/>
          <w:pgNumType w:fmt="upperRoman" w:start="1"/>
          <w:cols w:space="425" w:num="1"/>
          <w:rtlGutter w:val="0"/>
          <w:docGrid w:linePitch="312" w:charSpace="0"/>
        </w:sectPr>
      </w:pPr>
    </w:p>
    <w:p w14:paraId="456666A9">
      <w:pPr>
        <w:pStyle w:val="2"/>
        <w:numPr>
          <w:ilvl w:val="0"/>
          <w:numId w:val="1"/>
        </w:numPr>
        <w:bidi w:val="0"/>
        <w:ind w:left="0" w:leftChars="0" w:firstLine="0" w:firstLineChars="0"/>
        <w:rPr>
          <w:rFonts w:hint="eastAsia"/>
          <w:color w:val="auto"/>
        </w:rPr>
      </w:pPr>
      <w:bookmarkStart w:id="0" w:name="_Toc4742"/>
      <w:bookmarkStart w:id="1" w:name="_Toc57620327"/>
      <w:bookmarkStart w:id="2" w:name="_Toc21449"/>
      <w:bookmarkStart w:id="3" w:name="_Toc3451"/>
      <w:bookmarkStart w:id="4" w:name="_Toc26398"/>
      <w:bookmarkStart w:id="5" w:name="_Toc15982"/>
      <w:bookmarkStart w:id="6" w:name="_Toc18615"/>
      <w:bookmarkStart w:id="7" w:name="_Toc17873"/>
      <w:r>
        <w:rPr>
          <w:rFonts w:hint="eastAsia"/>
          <w:color w:val="auto"/>
        </w:rPr>
        <w:t>概述</w:t>
      </w:r>
      <w:bookmarkEnd w:id="0"/>
      <w:bookmarkEnd w:id="1"/>
      <w:bookmarkEnd w:id="2"/>
      <w:bookmarkEnd w:id="3"/>
      <w:bookmarkEnd w:id="4"/>
      <w:bookmarkEnd w:id="5"/>
      <w:bookmarkEnd w:id="6"/>
      <w:bookmarkEnd w:id="7"/>
    </w:p>
    <w:p w14:paraId="39ECA8C1">
      <w:pPr>
        <w:pStyle w:val="3"/>
        <w:bidi w:val="0"/>
        <w:rPr>
          <w:rFonts w:hint="eastAsia"/>
          <w:lang w:val="en-US" w:eastAsia="zh-CN"/>
        </w:rPr>
      </w:pPr>
      <w:bookmarkStart w:id="8" w:name="_Toc7740"/>
      <w:r>
        <w:rPr>
          <w:rFonts w:hint="eastAsia"/>
          <w:lang w:val="en-US" w:eastAsia="zh-CN"/>
        </w:rPr>
        <w:t>1.1 评价目的</w:t>
      </w:r>
      <w:bookmarkEnd w:id="8"/>
    </w:p>
    <w:p w14:paraId="74A51ABA">
      <w:pPr>
        <w:rPr>
          <w:rFonts w:hint="default"/>
          <w:lang w:val="en-US" w:eastAsia="zh-CN"/>
        </w:rPr>
      </w:pPr>
      <w:r>
        <w:rPr>
          <w:rFonts w:hint="default"/>
          <w:lang w:val="en-US" w:eastAsia="zh-CN"/>
        </w:rPr>
        <w:t>安全验收评价是在建设项目建成试运行之后，根据初步设计、安全设施设计等相关基础资料，辨识与分析建设项目运行过程中存在的危险、有害因素，确定其安全设施建设与安全生产法律、法规、规章、标准、规范的符合性，并预测事故发生的可能性及其严重程度，进一步提出科学、合理、可行的安全对策措施建议。</w:t>
      </w:r>
    </w:p>
    <w:p w14:paraId="5EDE4092">
      <w:pPr>
        <w:rPr>
          <w:rFonts w:hint="default"/>
          <w:lang w:val="en-US" w:eastAsia="zh-CN"/>
        </w:rPr>
      </w:pPr>
      <w:r>
        <w:rPr>
          <w:rFonts w:hint="default"/>
          <w:lang w:val="en-US" w:eastAsia="zh-CN"/>
        </w:rPr>
        <w:t>为贯</w:t>
      </w:r>
      <w:r>
        <w:rPr>
          <w:rFonts w:hint="eastAsia" w:ascii="宋体" w:hAnsi="宋体" w:eastAsia="宋体" w:cs="宋体"/>
          <w:lang w:val="en-US" w:eastAsia="zh-CN"/>
        </w:rPr>
        <w:t>彻“安全第一，预防为主，</w:t>
      </w:r>
      <w:r>
        <w:rPr>
          <w:rFonts w:hint="eastAsia" w:ascii="宋体" w:hAnsi="宋体" w:eastAsia="宋体" w:cs="宋体"/>
          <w:color w:val="auto"/>
          <w:lang w:val="en-US" w:eastAsia="zh-CN"/>
        </w:rPr>
        <w:t>综合治理”方针</w:t>
      </w:r>
      <w:r>
        <w:rPr>
          <w:rFonts w:hint="default"/>
          <w:color w:val="auto"/>
          <w:lang w:val="en-US" w:eastAsia="zh-CN"/>
        </w:rPr>
        <w:t>，在建设项目竣工、试运行正常后，通过对江西省宜丰万国矿业有限公司</w:t>
      </w:r>
      <w:r>
        <w:rPr>
          <w:rFonts w:hint="eastAsia"/>
          <w:color w:val="auto"/>
          <w:lang w:val="en-US" w:eastAsia="zh-CN"/>
        </w:rPr>
        <w:t>铜铁选矿厂技改工程（新建内部加油站项目）</w:t>
      </w:r>
      <w:r>
        <w:rPr>
          <w:rFonts w:hint="default"/>
          <w:color w:val="auto"/>
          <w:lang w:val="en-US" w:eastAsia="zh-CN"/>
        </w:rPr>
        <w:t>的设施、设备、装置</w:t>
      </w:r>
      <w:r>
        <w:rPr>
          <w:rFonts w:hint="default"/>
          <w:lang w:val="en-US" w:eastAsia="zh-CN"/>
        </w:rPr>
        <w:t>实际运行状况及管理状况的安全评价，达到以下目的：</w:t>
      </w:r>
    </w:p>
    <w:p w14:paraId="24AB3FE7">
      <w:pPr>
        <w:rPr>
          <w:rFonts w:hint="default"/>
          <w:lang w:val="en-US" w:eastAsia="zh-CN"/>
        </w:rPr>
      </w:pPr>
      <w:r>
        <w:rPr>
          <w:rFonts w:hint="default"/>
          <w:lang w:val="en-US" w:eastAsia="zh-CN"/>
        </w:rPr>
        <w:t>1</w:t>
      </w:r>
      <w:r>
        <w:rPr>
          <w:rFonts w:hint="eastAsia"/>
          <w:lang w:val="en-US" w:eastAsia="zh-CN"/>
        </w:rPr>
        <w:t xml:space="preserve">. </w:t>
      </w:r>
      <w:r>
        <w:rPr>
          <w:rFonts w:hint="default"/>
          <w:lang w:val="en-US" w:eastAsia="zh-CN"/>
        </w:rPr>
        <w:t>检查建设项目安全设施与主体工程同时设计、同时施工、同时投入生产和使用情况；检查安全生产管理措施到位情况和安全生产规章制度健全情况；检查应急救援预案建立情况；审查确定建设项目建设满足安全生产法律、法规、规章、标准、规范的符合性。</w:t>
      </w:r>
    </w:p>
    <w:p w14:paraId="04F22376">
      <w:pPr>
        <w:rPr>
          <w:rFonts w:hint="default"/>
          <w:lang w:val="en-US" w:eastAsia="zh-CN"/>
        </w:rPr>
      </w:pPr>
      <w:r>
        <w:rPr>
          <w:rFonts w:hint="default"/>
          <w:lang w:val="en-US" w:eastAsia="zh-CN"/>
        </w:rPr>
        <w:t>2</w:t>
      </w:r>
      <w:r>
        <w:rPr>
          <w:rFonts w:hint="eastAsia"/>
          <w:lang w:val="en-US" w:eastAsia="zh-CN"/>
        </w:rPr>
        <w:t xml:space="preserve">. </w:t>
      </w:r>
      <w:r>
        <w:rPr>
          <w:rFonts w:hint="default"/>
          <w:lang w:val="en-US" w:eastAsia="zh-CN"/>
        </w:rPr>
        <w:t>根据提供的项目的工艺过程、主要设备和操作条件等，研究系统固有的危险及有害因素，应用安全系统工程的方法，对工程的危险性和危害性进行定性、定量分析，确定该系统的危险、有害因素及其危险、危害程度。</w:t>
      </w:r>
    </w:p>
    <w:p w14:paraId="6A6CE438">
      <w:pPr>
        <w:rPr>
          <w:rFonts w:hint="default"/>
          <w:lang w:val="en-US" w:eastAsia="zh-CN"/>
        </w:rPr>
      </w:pPr>
      <w:r>
        <w:rPr>
          <w:rFonts w:hint="default"/>
          <w:lang w:val="en-US" w:eastAsia="zh-CN"/>
        </w:rPr>
        <w:t>3</w:t>
      </w:r>
      <w:r>
        <w:rPr>
          <w:rFonts w:hint="eastAsia"/>
          <w:lang w:val="en-US" w:eastAsia="zh-CN"/>
        </w:rPr>
        <w:t xml:space="preserve">. </w:t>
      </w:r>
      <w:r>
        <w:rPr>
          <w:rFonts w:hint="default"/>
          <w:lang w:val="en-US" w:eastAsia="zh-CN"/>
        </w:rPr>
        <w:t>在安全设施设计提出的安全技术措施基础上，针对主要危险、有害因素及其可能产生的危险、危害后果，评定安全对策措施在建设过程中的落实情况。</w:t>
      </w:r>
    </w:p>
    <w:p w14:paraId="469C8DE3">
      <w:pPr>
        <w:rPr>
          <w:rFonts w:hint="default"/>
          <w:lang w:val="en-US" w:eastAsia="zh-CN"/>
        </w:rPr>
      </w:pPr>
      <w:r>
        <w:rPr>
          <w:rFonts w:hint="default"/>
          <w:lang w:val="en-US" w:eastAsia="zh-CN"/>
        </w:rPr>
        <w:t>4</w:t>
      </w:r>
      <w:r>
        <w:rPr>
          <w:rFonts w:hint="eastAsia"/>
          <w:lang w:val="en-US" w:eastAsia="zh-CN"/>
        </w:rPr>
        <w:t xml:space="preserve">. </w:t>
      </w:r>
      <w:r>
        <w:rPr>
          <w:rFonts w:hint="default"/>
          <w:lang w:val="en-US" w:eastAsia="zh-CN"/>
        </w:rPr>
        <w:t>评价公司安全管理水平和安全技术人员配备、安全防护设施、职业防护措施及事故应急与管理能否达到国家有关安全生产的法律、法规和标准规范的要求。</w:t>
      </w:r>
    </w:p>
    <w:p w14:paraId="126811DE">
      <w:pPr>
        <w:rPr>
          <w:rFonts w:hint="default"/>
          <w:lang w:val="en-US" w:eastAsia="zh-CN"/>
        </w:rPr>
      </w:pPr>
      <w:r>
        <w:rPr>
          <w:rFonts w:hint="default"/>
          <w:lang w:val="en-US" w:eastAsia="zh-CN"/>
        </w:rPr>
        <w:t>5</w:t>
      </w:r>
      <w:r>
        <w:rPr>
          <w:rFonts w:hint="eastAsia"/>
          <w:lang w:val="en-US" w:eastAsia="zh-CN"/>
        </w:rPr>
        <w:t xml:space="preserve">. </w:t>
      </w:r>
      <w:r>
        <w:rPr>
          <w:rFonts w:hint="default"/>
          <w:lang w:val="en-US" w:eastAsia="zh-CN"/>
        </w:rPr>
        <w:t>本报告作为新、改、扩建项</w:t>
      </w:r>
      <w:r>
        <w:rPr>
          <w:rFonts w:hint="eastAsia" w:ascii="宋体" w:hAnsi="宋体" w:eastAsia="宋体" w:cs="宋体"/>
          <w:lang w:val="en-US" w:eastAsia="zh-CN"/>
        </w:rPr>
        <w:t>目“三同时”的重</w:t>
      </w:r>
      <w:r>
        <w:rPr>
          <w:rFonts w:hint="default"/>
          <w:lang w:val="en-US" w:eastAsia="zh-CN"/>
        </w:rPr>
        <w:t>要组成部分，以利于提高建设项目本质安全度，为应急管理部门安全审查提供依据，同时也为政府安全生产监管对</w:t>
      </w:r>
      <w:r>
        <w:rPr>
          <w:rFonts w:hint="eastAsia"/>
          <w:lang w:val="en-US" w:eastAsia="zh-CN"/>
        </w:rPr>
        <w:t>本</w:t>
      </w:r>
      <w:r>
        <w:rPr>
          <w:rFonts w:hint="default"/>
          <w:lang w:val="en-US" w:eastAsia="zh-CN"/>
        </w:rPr>
        <w:t>项目实施监察、管理提供参考。</w:t>
      </w:r>
    </w:p>
    <w:p w14:paraId="2080FB8F">
      <w:pPr>
        <w:pStyle w:val="3"/>
        <w:bidi w:val="0"/>
        <w:rPr>
          <w:rFonts w:hint="default"/>
          <w:lang w:val="en-US" w:eastAsia="zh-CN"/>
        </w:rPr>
      </w:pPr>
      <w:bookmarkStart w:id="9" w:name="_Toc8523"/>
      <w:r>
        <w:rPr>
          <w:rFonts w:hint="default"/>
          <w:lang w:val="en-US" w:eastAsia="zh-CN"/>
        </w:rPr>
        <w:t>1.2 评价对象、范围及内容</w:t>
      </w:r>
      <w:bookmarkEnd w:id="9"/>
    </w:p>
    <w:p w14:paraId="4E1DDEC9">
      <w:pPr>
        <w:pStyle w:val="4"/>
        <w:bidi w:val="0"/>
        <w:rPr>
          <w:rFonts w:hint="default"/>
          <w:lang w:val="en-US" w:eastAsia="zh-CN"/>
        </w:rPr>
      </w:pPr>
      <w:bookmarkStart w:id="10" w:name="_Toc10772"/>
      <w:r>
        <w:rPr>
          <w:rFonts w:hint="default"/>
          <w:lang w:val="en-US" w:eastAsia="zh-CN"/>
        </w:rPr>
        <w:t>1.2.1 评价对象</w:t>
      </w:r>
      <w:bookmarkEnd w:id="10"/>
    </w:p>
    <w:p w14:paraId="532A5885">
      <w:pPr>
        <w:rPr>
          <w:rFonts w:hint="default"/>
          <w:color w:val="auto"/>
          <w:lang w:val="en-US" w:eastAsia="zh-CN"/>
        </w:rPr>
      </w:pPr>
      <w:r>
        <w:rPr>
          <w:rFonts w:hint="default"/>
          <w:lang w:val="en-US" w:eastAsia="zh-CN"/>
        </w:rPr>
        <w:t>本次评价</w:t>
      </w:r>
      <w:r>
        <w:rPr>
          <w:rFonts w:hint="default"/>
          <w:color w:val="auto"/>
          <w:lang w:val="en-US" w:eastAsia="zh-CN"/>
        </w:rPr>
        <w:t>对象为江西省宜丰万国矿业有限公司铜铁选矿厂技改工程（新建内部加油站项目）。</w:t>
      </w:r>
    </w:p>
    <w:p w14:paraId="1D65DB91">
      <w:pPr>
        <w:pStyle w:val="4"/>
        <w:bidi w:val="0"/>
        <w:rPr>
          <w:rFonts w:hint="default"/>
          <w:color w:val="auto"/>
          <w:lang w:val="en-US" w:eastAsia="zh-CN"/>
        </w:rPr>
      </w:pPr>
      <w:bookmarkStart w:id="11" w:name="_Toc30796"/>
      <w:r>
        <w:rPr>
          <w:rFonts w:hint="default"/>
          <w:color w:val="auto"/>
          <w:lang w:val="en-US" w:eastAsia="zh-CN"/>
        </w:rPr>
        <w:t>1.2.2 评价范围</w:t>
      </w:r>
      <w:bookmarkEnd w:id="11"/>
    </w:p>
    <w:p w14:paraId="4DD47D24">
      <w:pPr>
        <w:rPr>
          <w:rFonts w:hint="default"/>
          <w:color w:val="auto"/>
          <w:lang w:val="en-US" w:eastAsia="zh-CN"/>
        </w:rPr>
      </w:pPr>
      <w:r>
        <w:rPr>
          <w:rFonts w:hint="default"/>
          <w:color w:val="auto"/>
          <w:lang w:val="en-US" w:eastAsia="zh-CN"/>
        </w:rPr>
        <w:t>江西省宜丰万国矿业有限公司</w:t>
      </w:r>
      <w:r>
        <w:rPr>
          <w:rFonts w:hint="eastAsia"/>
          <w:color w:val="auto"/>
          <w:lang w:val="en-US" w:eastAsia="zh-CN"/>
        </w:rPr>
        <w:t>铜铁选矿厂技改工程（新建内部加油站项目）</w:t>
      </w:r>
      <w:r>
        <w:rPr>
          <w:rFonts w:hint="default"/>
          <w:color w:val="auto"/>
          <w:lang w:val="en-US" w:eastAsia="zh-CN"/>
        </w:rPr>
        <w:t>主要建设内容包括：自用撬装加油装置、消防器材箱、消防沙池、防护围堰。</w:t>
      </w:r>
    </w:p>
    <w:p w14:paraId="28DBB832">
      <w:pPr>
        <w:rPr>
          <w:rFonts w:hint="default"/>
          <w:color w:val="auto"/>
          <w:lang w:val="en-US" w:eastAsia="zh-CN"/>
        </w:rPr>
      </w:pPr>
      <w:r>
        <w:rPr>
          <w:rFonts w:hint="default"/>
          <w:color w:val="auto"/>
          <w:lang w:val="en-US" w:eastAsia="zh-CN"/>
        </w:rPr>
        <w:t>本次评价的范围为江西省宜丰万国矿业有限公司</w:t>
      </w:r>
      <w:r>
        <w:rPr>
          <w:rFonts w:hint="eastAsia"/>
          <w:color w:val="auto"/>
          <w:lang w:val="en-US" w:eastAsia="zh-CN"/>
        </w:rPr>
        <w:t>铜铁选矿厂技改工程（新建内部加油站项目）</w:t>
      </w:r>
      <w:r>
        <w:rPr>
          <w:rFonts w:hint="default"/>
          <w:color w:val="auto"/>
          <w:lang w:val="en-US" w:eastAsia="zh-CN"/>
        </w:rPr>
        <w:t>及其配套设施，具体包括选址及总平面布置、生产储存装置、公用工程与</w:t>
      </w:r>
      <w:r>
        <w:rPr>
          <w:rFonts w:hint="eastAsia"/>
          <w:color w:val="auto"/>
          <w:lang w:val="en-US" w:eastAsia="zh-CN"/>
        </w:rPr>
        <w:t>本项目</w:t>
      </w:r>
      <w:r>
        <w:rPr>
          <w:rFonts w:hint="default"/>
          <w:color w:val="auto"/>
          <w:lang w:val="en-US" w:eastAsia="zh-CN"/>
        </w:rPr>
        <w:t>要求是否匹配、安全管理等。</w:t>
      </w:r>
    </w:p>
    <w:p w14:paraId="4985FAE6">
      <w:pPr>
        <w:rPr>
          <w:rFonts w:hint="default"/>
          <w:lang w:val="en-US" w:eastAsia="zh-CN"/>
        </w:rPr>
      </w:pPr>
      <w:r>
        <w:rPr>
          <w:rFonts w:hint="default"/>
          <w:color w:val="auto"/>
          <w:lang w:val="en-US" w:eastAsia="zh-CN"/>
        </w:rPr>
        <w:t>根据相应法律、法规、标准、规范的要求检查安全设施的配置及相关</w:t>
      </w:r>
      <w:r>
        <w:rPr>
          <w:rFonts w:hint="default"/>
          <w:lang w:val="en-US" w:eastAsia="zh-CN"/>
        </w:rPr>
        <w:t>检测检验情况，审核评价安全生产管理机构、制度、人员培训、设备管理、操作规程、事故应急救援体系等保障措施，对整个工程安全设施及安全措施进行符合性评价。</w:t>
      </w:r>
    </w:p>
    <w:p w14:paraId="2B748AD2">
      <w:pPr>
        <w:rPr>
          <w:rFonts w:hint="default"/>
          <w:lang w:val="en-US" w:eastAsia="zh-CN"/>
        </w:rPr>
      </w:pPr>
      <w:r>
        <w:rPr>
          <w:rFonts w:hint="eastAsia"/>
          <w:lang w:val="en-US" w:eastAsia="zh-CN"/>
        </w:rPr>
        <w:t>本项目</w:t>
      </w:r>
      <w:r>
        <w:rPr>
          <w:rFonts w:hint="default"/>
          <w:lang w:val="en-US" w:eastAsia="zh-CN"/>
        </w:rPr>
        <w:t>后期涉及的设备设施，不在本次评价范围内。</w:t>
      </w:r>
    </w:p>
    <w:p w14:paraId="140C0E30">
      <w:pPr>
        <w:rPr>
          <w:rFonts w:hint="default"/>
          <w:lang w:val="en-US" w:eastAsia="zh-CN"/>
        </w:rPr>
      </w:pPr>
      <w:r>
        <w:rPr>
          <w:rFonts w:hint="eastAsia"/>
          <w:lang w:val="en-US" w:eastAsia="zh-CN"/>
        </w:rPr>
        <w:t>本项目</w:t>
      </w:r>
      <w:r>
        <w:rPr>
          <w:rFonts w:hint="default"/>
          <w:lang w:val="en-US" w:eastAsia="zh-CN"/>
        </w:rPr>
        <w:t>涉及的环境保护、职业卫生和厂外运输等，则应执行国家有关规定和相关标准，不在本次评价范围内。</w:t>
      </w:r>
    </w:p>
    <w:p w14:paraId="738B3A89">
      <w:pPr>
        <w:pStyle w:val="4"/>
        <w:bidi w:val="0"/>
        <w:rPr>
          <w:rFonts w:hint="default"/>
          <w:lang w:val="en-US" w:eastAsia="zh-CN"/>
        </w:rPr>
      </w:pPr>
      <w:bookmarkStart w:id="12" w:name="_Toc14494"/>
      <w:r>
        <w:rPr>
          <w:rFonts w:hint="default"/>
          <w:lang w:val="en-US" w:eastAsia="zh-CN"/>
        </w:rPr>
        <w:t>1.2.3 评价内容</w:t>
      </w:r>
      <w:bookmarkEnd w:id="12"/>
    </w:p>
    <w:p w14:paraId="48A88892">
      <w:pPr>
        <w:bidi w:val="0"/>
        <w:rPr>
          <w:rFonts w:hint="default"/>
          <w:lang w:val="en-US" w:eastAsia="zh-CN"/>
        </w:rPr>
      </w:pPr>
      <w:r>
        <w:rPr>
          <w:rFonts w:hint="default"/>
          <w:lang w:val="en-US" w:eastAsia="zh-CN"/>
        </w:rPr>
        <w:t>按照国家有关法律、法规、标准及规范的规定，对评价范围内存在的危险、有害因素进行分析，运用定性定量的评价方法，评价项目安全条件和安全生产条件的符合性，重大危险源的管理、应急救援体系的建立和运行，安全设施设计所提对策措施的落实情况等方面，找出事故隐患和存在的问题，在此基础上提出相应的建议措施，最终评定本</w:t>
      </w:r>
      <w:r>
        <w:rPr>
          <w:rFonts w:hint="eastAsia"/>
          <w:lang w:val="en-US" w:eastAsia="zh-CN"/>
        </w:rPr>
        <w:t>项目</w:t>
      </w:r>
      <w:r>
        <w:rPr>
          <w:rFonts w:hint="default"/>
          <w:lang w:val="en-US" w:eastAsia="zh-CN"/>
        </w:rPr>
        <w:t>安全设施的符合性。</w:t>
      </w:r>
    </w:p>
    <w:p w14:paraId="30D2A913">
      <w:pPr>
        <w:rPr>
          <w:rFonts w:hint="default"/>
          <w:lang w:val="en-US" w:eastAsia="zh-CN"/>
        </w:rPr>
      </w:pPr>
      <w:r>
        <w:rPr>
          <w:rFonts w:hint="default"/>
          <w:lang w:val="en-US" w:eastAsia="zh-CN"/>
        </w:rPr>
        <w:t>主要内容包括：</w:t>
      </w:r>
    </w:p>
    <w:p w14:paraId="1CD2FEFB">
      <w:pPr>
        <w:rPr>
          <w:rFonts w:hint="default"/>
          <w:lang w:val="en-US" w:eastAsia="zh-CN"/>
        </w:rPr>
      </w:pPr>
      <w:r>
        <w:rPr>
          <w:rFonts w:hint="default"/>
          <w:lang w:val="en-US" w:eastAsia="zh-CN"/>
        </w:rPr>
        <w:t>1</w:t>
      </w:r>
      <w:r>
        <w:rPr>
          <w:rFonts w:hint="eastAsia"/>
          <w:lang w:val="en-US" w:eastAsia="zh-CN"/>
        </w:rPr>
        <w:t xml:space="preserve">. </w:t>
      </w:r>
      <w:r>
        <w:rPr>
          <w:rFonts w:hint="default"/>
          <w:lang w:val="en-US" w:eastAsia="zh-CN"/>
        </w:rPr>
        <w:t>评价该建设项目执行建设</w:t>
      </w:r>
      <w:r>
        <w:rPr>
          <w:rFonts w:hint="eastAsia" w:ascii="宋体" w:hAnsi="宋体" w:eastAsia="宋体" w:cs="宋体"/>
          <w:lang w:val="en-US" w:eastAsia="zh-CN"/>
        </w:rPr>
        <w:t>项目（工程）安全设施“三同时”的情</w:t>
      </w:r>
      <w:r>
        <w:rPr>
          <w:rFonts w:hint="default"/>
          <w:lang w:val="en-US" w:eastAsia="zh-CN"/>
        </w:rPr>
        <w:t>况；</w:t>
      </w:r>
    </w:p>
    <w:p w14:paraId="461382F5">
      <w:pPr>
        <w:rPr>
          <w:rFonts w:hint="default"/>
          <w:lang w:val="en-US" w:eastAsia="zh-CN"/>
        </w:rPr>
      </w:pPr>
      <w:r>
        <w:rPr>
          <w:rFonts w:hint="default"/>
          <w:lang w:val="en-US" w:eastAsia="zh-CN"/>
        </w:rPr>
        <w:t>2</w:t>
      </w:r>
      <w:r>
        <w:rPr>
          <w:rFonts w:hint="eastAsia"/>
          <w:lang w:val="en-US" w:eastAsia="zh-CN"/>
        </w:rPr>
        <w:t xml:space="preserve">. </w:t>
      </w:r>
      <w:r>
        <w:rPr>
          <w:rFonts w:hint="default"/>
          <w:lang w:val="en-US" w:eastAsia="zh-CN"/>
        </w:rPr>
        <w:t>检查安全设施、措施是否符合相关技术标准、规范；</w:t>
      </w:r>
    </w:p>
    <w:p w14:paraId="22A6CC43">
      <w:pPr>
        <w:rPr>
          <w:rFonts w:hint="default"/>
          <w:lang w:val="en-US" w:eastAsia="zh-CN"/>
        </w:rPr>
      </w:pPr>
      <w:r>
        <w:rPr>
          <w:rFonts w:hint="default"/>
          <w:lang w:val="en-US" w:eastAsia="zh-CN"/>
        </w:rPr>
        <w:t>3</w:t>
      </w:r>
      <w:r>
        <w:rPr>
          <w:rFonts w:hint="eastAsia"/>
          <w:lang w:val="en-US" w:eastAsia="zh-CN"/>
        </w:rPr>
        <w:t xml:space="preserve">. </w:t>
      </w:r>
      <w:r>
        <w:rPr>
          <w:rFonts w:hint="default"/>
          <w:lang w:val="en-US" w:eastAsia="zh-CN"/>
        </w:rPr>
        <w:t>评价公用工程、辅助设施与</w:t>
      </w:r>
      <w:r>
        <w:rPr>
          <w:rFonts w:hint="eastAsia"/>
          <w:lang w:val="en-US" w:eastAsia="zh-CN"/>
        </w:rPr>
        <w:t>本项目</w:t>
      </w:r>
      <w:r>
        <w:rPr>
          <w:rFonts w:hint="default"/>
          <w:lang w:val="en-US" w:eastAsia="zh-CN"/>
        </w:rPr>
        <w:t>的配套性；</w:t>
      </w:r>
    </w:p>
    <w:p w14:paraId="45605245">
      <w:pPr>
        <w:rPr>
          <w:rFonts w:hint="default"/>
          <w:lang w:val="en-US" w:eastAsia="zh-CN"/>
        </w:rPr>
      </w:pPr>
      <w:r>
        <w:rPr>
          <w:rFonts w:hint="default"/>
          <w:lang w:val="en-US" w:eastAsia="zh-CN"/>
        </w:rPr>
        <w:t>4</w:t>
      </w:r>
      <w:r>
        <w:rPr>
          <w:rFonts w:hint="eastAsia"/>
          <w:lang w:val="en-US" w:eastAsia="zh-CN"/>
        </w:rPr>
        <w:t xml:space="preserve">. </w:t>
      </w:r>
      <w:r>
        <w:rPr>
          <w:rFonts w:hint="default"/>
          <w:lang w:val="en-US" w:eastAsia="zh-CN"/>
        </w:rPr>
        <w:t>检查审核国家强制要求的特种设备等的检验取证及有强制检验要求的安全阀、压力表、防雷、防静电设施、劳动防护用品等的检测、校验情况；</w:t>
      </w:r>
    </w:p>
    <w:p w14:paraId="2F5AD3FA">
      <w:pPr>
        <w:rPr>
          <w:rFonts w:hint="default"/>
          <w:lang w:val="en-US" w:eastAsia="zh-CN"/>
        </w:rPr>
      </w:pPr>
      <w:r>
        <w:rPr>
          <w:rFonts w:hint="default"/>
          <w:lang w:val="en-US" w:eastAsia="zh-CN"/>
        </w:rPr>
        <w:t>5</w:t>
      </w:r>
      <w:r>
        <w:rPr>
          <w:rFonts w:hint="eastAsia"/>
          <w:lang w:val="en-US" w:eastAsia="zh-CN"/>
        </w:rPr>
        <w:t xml:space="preserve">. </w:t>
      </w:r>
      <w:r>
        <w:rPr>
          <w:rFonts w:hint="default"/>
          <w:lang w:val="en-US" w:eastAsia="zh-CN"/>
        </w:rPr>
        <w:t>检查审核特种作业人员的培训、取证情况及从业人员的安全教育、培训情况；</w:t>
      </w:r>
    </w:p>
    <w:p w14:paraId="0C119643">
      <w:pPr>
        <w:rPr>
          <w:rFonts w:hint="default"/>
          <w:lang w:val="en-US" w:eastAsia="zh-CN"/>
        </w:rPr>
      </w:pPr>
      <w:r>
        <w:rPr>
          <w:rFonts w:hint="default"/>
          <w:lang w:val="en-US" w:eastAsia="zh-CN"/>
        </w:rPr>
        <w:t>6</w:t>
      </w:r>
      <w:r>
        <w:rPr>
          <w:rFonts w:hint="eastAsia"/>
          <w:lang w:val="en-US" w:eastAsia="zh-CN"/>
        </w:rPr>
        <w:t xml:space="preserve">. </w:t>
      </w:r>
      <w:r>
        <w:rPr>
          <w:rFonts w:hint="default"/>
          <w:lang w:val="en-US" w:eastAsia="zh-CN"/>
        </w:rPr>
        <w:t>检查、审核安全生产管理机构及安全生产管理制度的建立健全和执行情况；</w:t>
      </w:r>
    </w:p>
    <w:p w14:paraId="406E21B4">
      <w:pPr>
        <w:rPr>
          <w:rFonts w:hint="default"/>
          <w:lang w:val="en-US" w:eastAsia="zh-CN"/>
        </w:rPr>
      </w:pPr>
      <w:r>
        <w:rPr>
          <w:rFonts w:hint="default"/>
          <w:lang w:val="en-US" w:eastAsia="zh-CN"/>
        </w:rPr>
        <w:t>7</w:t>
      </w:r>
      <w:r>
        <w:rPr>
          <w:rFonts w:hint="eastAsia"/>
          <w:lang w:val="en-US" w:eastAsia="zh-CN"/>
        </w:rPr>
        <w:t xml:space="preserve">. </w:t>
      </w:r>
      <w:r>
        <w:rPr>
          <w:rFonts w:hint="default"/>
          <w:lang w:val="en-US" w:eastAsia="zh-CN"/>
        </w:rPr>
        <w:t>分析项目中存在的危险、有害因素，并采用定性、定量评价方法，确定该建设项目的危险程度；</w:t>
      </w:r>
    </w:p>
    <w:p w14:paraId="0CBCF268">
      <w:pPr>
        <w:rPr>
          <w:rFonts w:hint="default"/>
          <w:lang w:val="en-US" w:eastAsia="zh-CN"/>
        </w:rPr>
      </w:pPr>
      <w:r>
        <w:rPr>
          <w:rFonts w:hint="default"/>
          <w:lang w:val="en-US" w:eastAsia="zh-CN"/>
        </w:rPr>
        <w:t>8</w:t>
      </w:r>
      <w:r>
        <w:rPr>
          <w:rFonts w:hint="eastAsia"/>
          <w:lang w:val="en-US" w:eastAsia="zh-CN"/>
        </w:rPr>
        <w:t xml:space="preserve">. </w:t>
      </w:r>
      <w:r>
        <w:rPr>
          <w:rFonts w:hint="default"/>
          <w:lang w:val="en-US" w:eastAsia="zh-CN"/>
        </w:rPr>
        <w:t>检查、评价周边环境与项目的适应性，事故应急救援设施、措施及预案编制、人员训练、演练等的有效性；</w:t>
      </w:r>
    </w:p>
    <w:p w14:paraId="37307288">
      <w:pPr>
        <w:rPr>
          <w:rFonts w:hint="default"/>
          <w:lang w:val="en-US" w:eastAsia="zh-CN"/>
        </w:rPr>
      </w:pPr>
      <w:r>
        <w:rPr>
          <w:rFonts w:hint="default"/>
          <w:lang w:val="en-US" w:eastAsia="zh-CN"/>
        </w:rPr>
        <w:t>9</w:t>
      </w:r>
      <w:r>
        <w:rPr>
          <w:rFonts w:hint="eastAsia"/>
          <w:lang w:val="en-US" w:eastAsia="zh-CN"/>
        </w:rPr>
        <w:t xml:space="preserve">. </w:t>
      </w:r>
      <w:r>
        <w:rPr>
          <w:rFonts w:hint="default"/>
          <w:lang w:val="en-US" w:eastAsia="zh-CN"/>
        </w:rPr>
        <w:t>对项目中存在的问题提出安全对策措施建议并与委托方交流意见；</w:t>
      </w:r>
    </w:p>
    <w:p w14:paraId="1C76C040">
      <w:pPr>
        <w:rPr>
          <w:rFonts w:hint="default"/>
          <w:lang w:val="en-US" w:eastAsia="zh-CN"/>
        </w:rPr>
      </w:pPr>
      <w:r>
        <w:rPr>
          <w:rFonts w:hint="default"/>
          <w:lang w:val="en-US" w:eastAsia="zh-CN"/>
        </w:rPr>
        <w:t>10</w:t>
      </w:r>
      <w:r>
        <w:rPr>
          <w:rFonts w:hint="eastAsia"/>
          <w:lang w:val="en-US" w:eastAsia="zh-CN"/>
        </w:rPr>
        <w:t xml:space="preserve">. </w:t>
      </w:r>
      <w:r>
        <w:rPr>
          <w:rFonts w:hint="default"/>
          <w:lang w:val="en-US" w:eastAsia="zh-CN"/>
        </w:rPr>
        <w:t>得出科学、客观、公正的评价结论。</w:t>
      </w:r>
    </w:p>
    <w:p w14:paraId="771714BB">
      <w:pPr>
        <w:pStyle w:val="3"/>
        <w:bidi w:val="0"/>
        <w:rPr>
          <w:rFonts w:hint="default"/>
          <w:lang w:val="en-US" w:eastAsia="zh-CN"/>
        </w:rPr>
      </w:pPr>
      <w:bookmarkStart w:id="13" w:name="_Toc2214"/>
      <w:r>
        <w:rPr>
          <w:rFonts w:hint="default"/>
          <w:lang w:val="en-US" w:eastAsia="zh-CN"/>
        </w:rPr>
        <w:t>1.3 评价依据</w:t>
      </w:r>
      <w:bookmarkEnd w:id="13"/>
    </w:p>
    <w:p w14:paraId="0F9CD7A6">
      <w:pPr>
        <w:rPr>
          <w:rFonts w:hint="default"/>
          <w:b/>
          <w:bCs/>
          <w:lang w:val="en-US" w:eastAsia="zh-CN"/>
        </w:rPr>
      </w:pPr>
      <w:r>
        <w:rPr>
          <w:rFonts w:hint="default"/>
          <w:b/>
          <w:bCs/>
          <w:lang w:val="en-US" w:eastAsia="zh-CN"/>
        </w:rPr>
        <w:t>一、法律、法规和规章</w:t>
      </w:r>
    </w:p>
    <w:p w14:paraId="4BF6F434">
      <w:pPr>
        <w:rPr>
          <w:rFonts w:hint="default"/>
          <w:color w:val="auto"/>
          <w:lang w:val="en-US" w:eastAsia="zh-CN"/>
        </w:rPr>
      </w:pPr>
      <w:r>
        <w:rPr>
          <w:rFonts w:hint="default"/>
          <w:color w:val="auto"/>
          <w:lang w:val="en-US" w:eastAsia="zh-CN"/>
        </w:rPr>
        <w:t>《中华人民共和国特种设备安全法》（中华人民共和国主席令</w:t>
      </w:r>
      <w:r>
        <w:rPr>
          <w:rFonts w:hint="eastAsia" w:ascii="宋体" w:hAnsi="宋体" w:eastAsia="宋体" w:cs="宋体"/>
          <w:color w:val="auto"/>
          <w:lang w:val="en-US" w:eastAsia="zh-CN"/>
        </w:rPr>
        <w:t>[</w:t>
      </w:r>
      <w:r>
        <w:rPr>
          <w:rFonts w:hint="default"/>
          <w:color w:val="auto"/>
          <w:lang w:val="en-US" w:eastAsia="zh-CN"/>
        </w:rPr>
        <w:t>2013</w:t>
      </w:r>
      <w:r>
        <w:rPr>
          <w:rFonts w:hint="eastAsia" w:ascii="宋体" w:hAnsi="宋体" w:eastAsia="宋体" w:cs="宋体"/>
          <w:color w:val="auto"/>
          <w:lang w:val="en-US" w:eastAsia="zh-CN"/>
        </w:rPr>
        <w:t>]</w:t>
      </w:r>
      <w:r>
        <w:rPr>
          <w:rFonts w:hint="default"/>
          <w:color w:val="auto"/>
          <w:lang w:val="en-US" w:eastAsia="zh-CN"/>
        </w:rPr>
        <w:t>第4号）</w:t>
      </w:r>
    </w:p>
    <w:p w14:paraId="7404A83D">
      <w:pPr>
        <w:rPr>
          <w:rFonts w:hint="default"/>
          <w:color w:val="auto"/>
          <w:lang w:val="en-US" w:eastAsia="zh-CN"/>
        </w:rPr>
      </w:pPr>
      <w:r>
        <w:rPr>
          <w:rFonts w:hint="default"/>
          <w:color w:val="auto"/>
          <w:lang w:val="en-US" w:eastAsia="zh-CN"/>
        </w:rPr>
        <w:t>《中华人民共和国环境保护法》（中华人民共和国主席令</w:t>
      </w:r>
      <w:r>
        <w:rPr>
          <w:rFonts w:hint="eastAsia" w:ascii="宋体" w:hAnsi="宋体" w:eastAsia="宋体" w:cs="宋体"/>
          <w:color w:val="auto"/>
          <w:lang w:val="en-US" w:eastAsia="zh-CN"/>
        </w:rPr>
        <w:t>[</w:t>
      </w:r>
      <w:r>
        <w:rPr>
          <w:rFonts w:hint="default"/>
          <w:color w:val="auto"/>
          <w:lang w:val="en-US" w:eastAsia="zh-CN"/>
        </w:rPr>
        <w:t>2014</w:t>
      </w:r>
      <w:r>
        <w:rPr>
          <w:rFonts w:hint="eastAsia" w:ascii="宋体" w:hAnsi="宋体" w:eastAsia="宋体" w:cs="宋体"/>
          <w:color w:val="auto"/>
          <w:lang w:val="en-US" w:eastAsia="zh-CN"/>
        </w:rPr>
        <w:t>]</w:t>
      </w:r>
      <w:r>
        <w:rPr>
          <w:rFonts w:hint="default"/>
          <w:color w:val="auto"/>
          <w:lang w:val="en-US" w:eastAsia="zh-CN"/>
        </w:rPr>
        <w:t>第9号修改）</w:t>
      </w:r>
    </w:p>
    <w:p w14:paraId="37414EF7">
      <w:pPr>
        <w:rPr>
          <w:rFonts w:hint="default"/>
          <w:color w:val="auto"/>
          <w:lang w:val="en-US" w:eastAsia="zh-CN"/>
        </w:rPr>
      </w:pPr>
      <w:r>
        <w:rPr>
          <w:rFonts w:hint="default"/>
          <w:color w:val="auto"/>
          <w:lang w:val="en-US" w:eastAsia="zh-CN"/>
        </w:rPr>
        <w:t>《中华人民共和国劳动法》（中华人民共和国主席令</w:t>
      </w:r>
      <w:r>
        <w:rPr>
          <w:rFonts w:hint="eastAsia" w:ascii="宋体" w:hAnsi="宋体" w:eastAsia="宋体" w:cs="宋体"/>
          <w:color w:val="auto"/>
          <w:lang w:val="en-US" w:eastAsia="zh-CN"/>
        </w:rPr>
        <w:t>[</w:t>
      </w:r>
      <w:r>
        <w:rPr>
          <w:rFonts w:hint="default"/>
          <w:color w:val="auto"/>
          <w:lang w:val="en-US" w:eastAsia="zh-CN"/>
        </w:rPr>
        <w:t>2018</w:t>
      </w:r>
      <w:r>
        <w:rPr>
          <w:rFonts w:hint="eastAsia" w:ascii="宋体" w:hAnsi="宋体" w:eastAsia="宋体" w:cs="宋体"/>
          <w:color w:val="auto"/>
          <w:lang w:val="en-US" w:eastAsia="zh-CN"/>
        </w:rPr>
        <w:t>]</w:t>
      </w:r>
      <w:r>
        <w:rPr>
          <w:rFonts w:hint="default"/>
          <w:color w:val="auto"/>
          <w:lang w:val="en-US" w:eastAsia="zh-CN"/>
        </w:rPr>
        <w:t>第24号修改）</w:t>
      </w:r>
    </w:p>
    <w:p w14:paraId="7A7AC50F">
      <w:pPr>
        <w:rPr>
          <w:rFonts w:hint="default"/>
          <w:color w:val="auto"/>
          <w:lang w:val="en-US" w:eastAsia="zh-CN"/>
        </w:rPr>
      </w:pPr>
      <w:r>
        <w:rPr>
          <w:rFonts w:hint="default"/>
          <w:color w:val="auto"/>
          <w:lang w:val="en-US" w:eastAsia="zh-CN"/>
        </w:rPr>
        <w:t>《中华人民共和国职业病防治法》（中华人民共和国主席令</w:t>
      </w:r>
      <w:r>
        <w:rPr>
          <w:rFonts w:hint="eastAsia" w:ascii="宋体" w:hAnsi="宋体" w:eastAsia="宋体" w:cs="宋体"/>
          <w:color w:val="auto"/>
          <w:lang w:val="en-US" w:eastAsia="zh-CN"/>
        </w:rPr>
        <w:t>[</w:t>
      </w:r>
      <w:r>
        <w:rPr>
          <w:rFonts w:hint="default"/>
          <w:color w:val="auto"/>
          <w:lang w:val="en-US" w:eastAsia="zh-CN"/>
        </w:rPr>
        <w:t>2018</w:t>
      </w:r>
      <w:r>
        <w:rPr>
          <w:rFonts w:hint="eastAsia" w:ascii="宋体" w:hAnsi="宋体" w:eastAsia="宋体" w:cs="宋体"/>
          <w:color w:val="auto"/>
          <w:lang w:val="en-US" w:eastAsia="zh-CN"/>
        </w:rPr>
        <w:t>]</w:t>
      </w:r>
      <w:r>
        <w:rPr>
          <w:rFonts w:hint="default"/>
          <w:color w:val="auto"/>
          <w:lang w:val="en-US" w:eastAsia="zh-CN"/>
        </w:rPr>
        <w:t>第24号）</w:t>
      </w:r>
    </w:p>
    <w:p w14:paraId="54339ACA">
      <w:pPr>
        <w:rPr>
          <w:rFonts w:hint="default"/>
          <w:color w:val="auto"/>
          <w:lang w:val="en-US" w:eastAsia="zh-CN"/>
        </w:rPr>
      </w:pPr>
      <w:r>
        <w:rPr>
          <w:rFonts w:hint="default"/>
          <w:color w:val="auto"/>
          <w:lang w:val="en-US" w:eastAsia="zh-CN"/>
        </w:rPr>
        <w:t>《中华人民共和国消防法》（中华人民共和国主席令</w:t>
      </w:r>
      <w:r>
        <w:rPr>
          <w:rFonts w:hint="eastAsia" w:ascii="宋体" w:hAnsi="宋体" w:eastAsia="宋体" w:cs="宋体"/>
          <w:color w:val="auto"/>
          <w:lang w:val="en-US" w:eastAsia="zh-CN"/>
        </w:rPr>
        <w:t>[</w:t>
      </w:r>
      <w:r>
        <w:rPr>
          <w:rFonts w:hint="default"/>
          <w:color w:val="auto"/>
          <w:lang w:val="en-US" w:eastAsia="zh-CN"/>
        </w:rPr>
        <w:t>2021</w:t>
      </w:r>
      <w:r>
        <w:rPr>
          <w:rFonts w:hint="eastAsia" w:ascii="宋体" w:hAnsi="宋体" w:eastAsia="宋体" w:cs="宋体"/>
          <w:color w:val="auto"/>
          <w:lang w:val="en-US" w:eastAsia="zh-CN"/>
        </w:rPr>
        <w:t>]</w:t>
      </w:r>
      <w:r>
        <w:rPr>
          <w:rFonts w:hint="default"/>
          <w:color w:val="auto"/>
          <w:lang w:val="en-US" w:eastAsia="zh-CN"/>
        </w:rPr>
        <w:t>第81号）</w:t>
      </w:r>
    </w:p>
    <w:p w14:paraId="7C5C21C7">
      <w:pPr>
        <w:rPr>
          <w:rFonts w:hint="default"/>
          <w:color w:val="auto"/>
          <w:lang w:val="en-US" w:eastAsia="zh-CN"/>
        </w:rPr>
      </w:pPr>
      <w:r>
        <w:rPr>
          <w:rFonts w:hint="default"/>
          <w:color w:val="auto"/>
          <w:lang w:val="en-US" w:eastAsia="zh-CN"/>
        </w:rPr>
        <w:t>《中华人民共和国安全生产法》（中华人民共和国主席令</w:t>
      </w:r>
      <w:r>
        <w:rPr>
          <w:rFonts w:hint="eastAsia" w:ascii="宋体" w:hAnsi="宋体" w:eastAsia="宋体" w:cs="宋体"/>
          <w:color w:val="auto"/>
          <w:lang w:val="en-US" w:eastAsia="zh-CN"/>
        </w:rPr>
        <w:t>[</w:t>
      </w:r>
      <w:r>
        <w:rPr>
          <w:rFonts w:hint="default"/>
          <w:color w:val="auto"/>
          <w:lang w:val="en-US" w:eastAsia="zh-CN"/>
        </w:rPr>
        <w:t>2021</w:t>
      </w:r>
      <w:r>
        <w:rPr>
          <w:rFonts w:hint="eastAsia" w:ascii="宋体" w:hAnsi="宋体" w:eastAsia="宋体" w:cs="宋体"/>
          <w:color w:val="auto"/>
          <w:lang w:val="en-US" w:eastAsia="zh-CN"/>
        </w:rPr>
        <w:t>]</w:t>
      </w:r>
      <w:r>
        <w:rPr>
          <w:rFonts w:hint="default"/>
          <w:color w:val="auto"/>
          <w:lang w:val="en-US" w:eastAsia="zh-CN"/>
        </w:rPr>
        <w:t>第88号）</w:t>
      </w:r>
    </w:p>
    <w:p w14:paraId="25EE45EA">
      <w:pPr>
        <w:rPr>
          <w:rFonts w:hint="default"/>
          <w:color w:val="auto"/>
          <w:lang w:val="en-US" w:eastAsia="zh-CN"/>
        </w:rPr>
      </w:pPr>
      <w:r>
        <w:rPr>
          <w:rFonts w:hint="default"/>
          <w:color w:val="auto"/>
          <w:lang w:val="en-US" w:eastAsia="zh-CN"/>
        </w:rPr>
        <w:t>《中华人民共和国突发事件应对法》（中华人民共和国主席令</w:t>
      </w:r>
      <w:r>
        <w:rPr>
          <w:rFonts w:hint="eastAsia" w:ascii="宋体" w:hAnsi="宋体" w:eastAsia="宋体" w:cs="宋体"/>
          <w:color w:val="auto"/>
          <w:lang w:val="en-US" w:eastAsia="zh-CN"/>
        </w:rPr>
        <w:t>[</w:t>
      </w:r>
      <w:r>
        <w:rPr>
          <w:rFonts w:hint="default"/>
          <w:color w:val="auto"/>
          <w:lang w:val="en-US" w:eastAsia="zh-CN"/>
        </w:rPr>
        <w:t>2024</w:t>
      </w:r>
      <w:r>
        <w:rPr>
          <w:rFonts w:hint="eastAsia" w:ascii="宋体" w:hAnsi="宋体" w:eastAsia="宋体" w:cs="宋体"/>
          <w:color w:val="auto"/>
          <w:lang w:val="en-US" w:eastAsia="zh-CN"/>
        </w:rPr>
        <w:t>]</w:t>
      </w:r>
      <w:r>
        <w:rPr>
          <w:rFonts w:hint="default"/>
          <w:color w:val="auto"/>
          <w:lang w:val="en-US" w:eastAsia="zh-CN"/>
        </w:rPr>
        <w:t>第25号修订）</w:t>
      </w:r>
    </w:p>
    <w:p w14:paraId="449CB15A">
      <w:pPr>
        <w:rPr>
          <w:rFonts w:hint="default"/>
          <w:lang w:val="en-US" w:eastAsia="zh-CN"/>
        </w:rPr>
      </w:pPr>
      <w:r>
        <w:rPr>
          <w:rFonts w:hint="default"/>
          <w:lang w:val="en-US" w:eastAsia="zh-CN"/>
        </w:rPr>
        <w:t>《危险化学品重大危险源监督管理暂行规定》（安监总局令第40号、第79号修订）</w:t>
      </w:r>
    </w:p>
    <w:p w14:paraId="734A59BE">
      <w:pPr>
        <w:rPr>
          <w:rFonts w:hint="default"/>
          <w:lang w:val="en-US" w:eastAsia="zh-CN"/>
        </w:rPr>
      </w:pPr>
      <w:r>
        <w:rPr>
          <w:rFonts w:hint="default"/>
          <w:lang w:val="en-US" w:eastAsia="zh-CN"/>
        </w:rPr>
        <w:t>《监控化学品管理条例》（国务院令</w:t>
      </w:r>
      <w:r>
        <w:rPr>
          <w:rFonts w:hint="eastAsia" w:ascii="宋体" w:hAnsi="宋体" w:eastAsia="宋体" w:cs="宋体"/>
          <w:lang w:val="en-US" w:eastAsia="zh-CN"/>
        </w:rPr>
        <w:t>[</w:t>
      </w:r>
      <w:r>
        <w:rPr>
          <w:rFonts w:hint="default"/>
          <w:lang w:val="en-US" w:eastAsia="zh-CN"/>
        </w:rPr>
        <w:t>2011</w:t>
      </w:r>
      <w:r>
        <w:rPr>
          <w:rFonts w:hint="eastAsia" w:ascii="宋体" w:hAnsi="宋体" w:eastAsia="宋体" w:cs="宋体"/>
          <w:lang w:val="en-US" w:eastAsia="zh-CN"/>
        </w:rPr>
        <w:t>]</w:t>
      </w:r>
      <w:r>
        <w:rPr>
          <w:rFonts w:hint="default"/>
          <w:lang w:val="en-US" w:eastAsia="zh-CN"/>
        </w:rPr>
        <w:t>第588号）</w:t>
      </w:r>
    </w:p>
    <w:p w14:paraId="6AA94894">
      <w:pPr>
        <w:rPr>
          <w:rFonts w:hint="default"/>
          <w:lang w:val="en-US" w:eastAsia="zh-CN"/>
        </w:rPr>
      </w:pPr>
      <w:r>
        <w:rPr>
          <w:rFonts w:hint="default"/>
          <w:lang w:val="en-US" w:eastAsia="zh-CN"/>
        </w:rPr>
        <w:t>《危险化学品安全管理条例》（国务院令</w:t>
      </w:r>
      <w:r>
        <w:rPr>
          <w:rFonts w:hint="eastAsia" w:ascii="宋体" w:hAnsi="宋体" w:eastAsia="宋体" w:cs="宋体"/>
          <w:lang w:val="en-US" w:eastAsia="zh-CN"/>
        </w:rPr>
        <w:t>[</w:t>
      </w:r>
      <w:r>
        <w:rPr>
          <w:rFonts w:hint="default"/>
          <w:lang w:val="en-US" w:eastAsia="zh-CN"/>
        </w:rPr>
        <w:t>2013</w:t>
      </w:r>
      <w:r>
        <w:rPr>
          <w:rFonts w:hint="eastAsia" w:ascii="宋体" w:hAnsi="宋体" w:eastAsia="宋体" w:cs="宋体"/>
          <w:lang w:val="en-US" w:eastAsia="zh-CN"/>
        </w:rPr>
        <w:t>]</w:t>
      </w:r>
      <w:r>
        <w:rPr>
          <w:rFonts w:hint="default"/>
          <w:lang w:val="en-US" w:eastAsia="zh-CN"/>
        </w:rPr>
        <w:t>第645号修改）</w:t>
      </w:r>
    </w:p>
    <w:p w14:paraId="4F650883">
      <w:pPr>
        <w:rPr>
          <w:rFonts w:hint="default"/>
          <w:lang w:val="en-US" w:eastAsia="zh-CN"/>
        </w:rPr>
      </w:pPr>
      <w:r>
        <w:rPr>
          <w:rFonts w:hint="default"/>
          <w:lang w:val="en-US" w:eastAsia="zh-CN"/>
        </w:rPr>
        <w:t>《危险化学品经营许可证管理办法》（国家安全监管总局令第79号修正）</w:t>
      </w:r>
    </w:p>
    <w:p w14:paraId="741F2509">
      <w:pPr>
        <w:rPr>
          <w:rFonts w:hint="default"/>
          <w:lang w:val="en-US" w:eastAsia="zh-CN"/>
        </w:rPr>
      </w:pPr>
      <w:r>
        <w:rPr>
          <w:rFonts w:hint="default"/>
          <w:lang w:val="en-US" w:eastAsia="zh-CN"/>
        </w:rPr>
        <w:t>《重点监管的危险化工工艺》（国家安监总局2013年版）</w:t>
      </w:r>
    </w:p>
    <w:p w14:paraId="4AE574B0">
      <w:pPr>
        <w:rPr>
          <w:rFonts w:hint="default"/>
          <w:lang w:val="en-US" w:eastAsia="zh-CN"/>
        </w:rPr>
      </w:pPr>
      <w:r>
        <w:rPr>
          <w:rFonts w:hint="default"/>
          <w:lang w:val="en-US" w:eastAsia="zh-CN"/>
        </w:rPr>
        <w:t>《监控化学品管理条例实施细则》（工信部令</w:t>
      </w:r>
      <w:r>
        <w:rPr>
          <w:rFonts w:hint="eastAsia" w:ascii="宋体" w:hAnsi="宋体" w:eastAsia="宋体" w:cs="宋体"/>
          <w:lang w:val="en-US" w:eastAsia="zh-CN"/>
        </w:rPr>
        <w:t>[</w:t>
      </w:r>
      <w:r>
        <w:rPr>
          <w:rFonts w:hint="default"/>
          <w:lang w:val="en-US" w:eastAsia="zh-CN"/>
        </w:rPr>
        <w:t>2018</w:t>
      </w:r>
      <w:r>
        <w:rPr>
          <w:rFonts w:hint="eastAsia" w:ascii="宋体" w:hAnsi="宋体" w:eastAsia="宋体" w:cs="宋体"/>
          <w:lang w:val="en-US" w:eastAsia="zh-CN"/>
        </w:rPr>
        <w:t>]</w:t>
      </w:r>
      <w:r>
        <w:rPr>
          <w:rFonts w:hint="default"/>
          <w:lang w:val="en-US" w:eastAsia="zh-CN"/>
        </w:rPr>
        <w:t>48号）</w:t>
      </w:r>
    </w:p>
    <w:p w14:paraId="27D35C94">
      <w:pPr>
        <w:rPr>
          <w:rFonts w:hint="default"/>
          <w:lang w:val="en-US" w:eastAsia="zh-CN"/>
        </w:rPr>
      </w:pPr>
      <w:r>
        <w:rPr>
          <w:rFonts w:hint="default"/>
          <w:lang w:val="en-US" w:eastAsia="zh-CN"/>
        </w:rPr>
        <w:t>《危险化学品目录（2015版）》（应急部等十部委公告2022年第8号修订）</w:t>
      </w:r>
    </w:p>
    <w:p w14:paraId="3FE65BA6">
      <w:pPr>
        <w:rPr>
          <w:rFonts w:hint="default"/>
          <w:lang w:val="en-US" w:eastAsia="zh-CN"/>
        </w:rPr>
      </w:pPr>
      <w:r>
        <w:rPr>
          <w:rFonts w:hint="default"/>
          <w:lang w:val="en-US" w:eastAsia="zh-CN"/>
        </w:rPr>
        <w:t>《易制毒化学品管理条例》</w:t>
      </w:r>
      <w:r>
        <w:rPr>
          <w:rFonts w:hint="eastAsia"/>
          <w:lang w:val="en-US" w:eastAsia="zh-CN"/>
        </w:rPr>
        <w:t>（</w:t>
      </w:r>
      <w:r>
        <w:rPr>
          <w:rFonts w:hint="default"/>
          <w:lang w:val="en-US" w:eastAsia="zh-CN"/>
        </w:rPr>
        <w:t>2018年9月18日国务院令第703号修订，公安部、商务部、国家卫生健康委员会、应急管理部、海关总署、国家药品监督管理局2024年8月2日联合公告，公安部，商务部，国家卫生健康委员会，应急管理部海关总署国家药品监督管理局2025年6月20日联合公告</w:t>
      </w:r>
      <w:r>
        <w:rPr>
          <w:rFonts w:hint="eastAsia"/>
          <w:lang w:val="en-US" w:eastAsia="zh-CN"/>
        </w:rPr>
        <w:t>）</w:t>
      </w:r>
    </w:p>
    <w:p w14:paraId="703391F3">
      <w:pPr>
        <w:rPr>
          <w:rFonts w:hint="default"/>
          <w:lang w:val="en-US" w:eastAsia="zh-CN"/>
        </w:rPr>
      </w:pPr>
      <w:r>
        <w:rPr>
          <w:rFonts w:hint="default"/>
          <w:lang w:val="en-US" w:eastAsia="zh-CN"/>
        </w:rPr>
        <w:t>《高毒物品目录》（卫法监发</w:t>
      </w:r>
      <w:r>
        <w:rPr>
          <w:rFonts w:hint="eastAsia" w:ascii="宋体" w:hAnsi="宋体" w:eastAsia="宋体" w:cs="宋体"/>
          <w:lang w:val="en-US" w:eastAsia="zh-CN"/>
        </w:rPr>
        <w:t>[</w:t>
      </w:r>
      <w:r>
        <w:rPr>
          <w:rFonts w:hint="default"/>
          <w:lang w:val="en-US" w:eastAsia="zh-CN"/>
        </w:rPr>
        <w:t>2003</w:t>
      </w:r>
      <w:r>
        <w:rPr>
          <w:rFonts w:hint="eastAsia" w:ascii="宋体" w:hAnsi="宋体" w:eastAsia="宋体" w:cs="宋体"/>
          <w:lang w:val="en-US" w:eastAsia="zh-CN"/>
        </w:rPr>
        <w:t>]</w:t>
      </w:r>
      <w:r>
        <w:rPr>
          <w:rFonts w:hint="default"/>
          <w:lang w:val="en-US" w:eastAsia="zh-CN"/>
        </w:rPr>
        <w:t>142号）</w:t>
      </w:r>
    </w:p>
    <w:p w14:paraId="767FA701">
      <w:pPr>
        <w:rPr>
          <w:rFonts w:hint="default"/>
          <w:lang w:val="en-US" w:eastAsia="zh-CN"/>
        </w:rPr>
      </w:pPr>
      <w:r>
        <w:rPr>
          <w:rFonts w:hint="default"/>
          <w:lang w:val="en-US" w:eastAsia="zh-CN"/>
        </w:rPr>
        <w:t>《重点监管的危险化学品名录（2013年完整版）》（安监总管三〔2011〕95号、安监总管三〔2013〕12号）</w:t>
      </w:r>
    </w:p>
    <w:p w14:paraId="38DFA613">
      <w:pPr>
        <w:rPr>
          <w:rFonts w:hint="default"/>
          <w:lang w:val="en-US" w:eastAsia="zh-CN"/>
        </w:rPr>
      </w:pPr>
      <w:r>
        <w:rPr>
          <w:rFonts w:hint="default"/>
          <w:lang w:val="en-US" w:eastAsia="zh-CN"/>
        </w:rPr>
        <w:t>《重点监管的危险化学品安全措施和应急处置原则</w:t>
      </w:r>
      <w:r>
        <w:rPr>
          <w:rFonts w:hint="eastAsia"/>
          <w:lang w:val="en-US" w:eastAsia="zh-CN"/>
        </w:rPr>
        <w:t>（</w:t>
      </w:r>
      <w:r>
        <w:rPr>
          <w:rFonts w:hint="default"/>
          <w:lang w:val="en-US" w:eastAsia="zh-CN"/>
        </w:rPr>
        <w:t>2013年版</w:t>
      </w:r>
      <w:r>
        <w:rPr>
          <w:rFonts w:hint="eastAsia" w:ascii="宋体" w:hAnsi="宋体" w:eastAsia="宋体" w:cs="宋体"/>
          <w:lang w:val="en-US" w:eastAsia="zh-CN"/>
        </w:rPr>
        <w:t>）</w:t>
      </w:r>
      <w:r>
        <w:rPr>
          <w:rFonts w:hint="default"/>
          <w:lang w:val="en-US" w:eastAsia="zh-CN"/>
        </w:rPr>
        <w:t>》</w:t>
      </w:r>
      <w:r>
        <w:rPr>
          <w:rFonts w:hint="eastAsia"/>
          <w:lang w:val="en-US" w:eastAsia="zh-CN"/>
        </w:rPr>
        <w:t>（</w:t>
      </w:r>
      <w:r>
        <w:rPr>
          <w:rFonts w:hint="default"/>
          <w:lang w:val="en-US" w:eastAsia="zh-CN"/>
        </w:rPr>
        <w:t>安监总厅管三〔2011〕142号、安监总管三〔2013〕12号）</w:t>
      </w:r>
    </w:p>
    <w:p w14:paraId="4B9AC4CB">
      <w:pPr>
        <w:rPr>
          <w:rFonts w:hint="default"/>
          <w:lang w:val="en-US" w:eastAsia="zh-CN"/>
        </w:rPr>
      </w:pPr>
      <w:r>
        <w:rPr>
          <w:rFonts w:hint="default"/>
          <w:lang w:val="en-US" w:eastAsia="zh-CN"/>
        </w:rPr>
        <w:t>《关于公布首批重点监管的危险化工工艺目录的通知》</w:t>
      </w:r>
      <w:r>
        <w:rPr>
          <w:rFonts w:hint="eastAsia"/>
          <w:lang w:val="en-US" w:eastAsia="zh-CN"/>
        </w:rPr>
        <w:t>（</w:t>
      </w:r>
      <w:r>
        <w:rPr>
          <w:rFonts w:hint="default"/>
          <w:lang w:val="en-US" w:eastAsia="zh-CN"/>
        </w:rPr>
        <w:t>国家安全生产监督管理总局安监总管三〔2009〕116号）</w:t>
      </w:r>
    </w:p>
    <w:p w14:paraId="798D51EC">
      <w:pPr>
        <w:rPr>
          <w:rFonts w:hint="default"/>
          <w:lang w:val="en-US" w:eastAsia="zh-CN"/>
        </w:rPr>
      </w:pPr>
      <w:r>
        <w:rPr>
          <w:rFonts w:hint="default"/>
          <w:lang w:val="en-US" w:eastAsia="zh-CN"/>
        </w:rPr>
        <w:t>《国家安全监管总局关于公布首批重点监管的危险化学品名录的通知》</w:t>
      </w:r>
      <w:r>
        <w:rPr>
          <w:rFonts w:hint="eastAsia"/>
          <w:lang w:val="en-US" w:eastAsia="zh-CN"/>
        </w:rPr>
        <w:t>（</w:t>
      </w:r>
      <w:r>
        <w:rPr>
          <w:rFonts w:hint="default"/>
          <w:lang w:val="en-US" w:eastAsia="zh-CN"/>
        </w:rPr>
        <w:t>原国家安全监管总局安监总管三〔2011〕95号）</w:t>
      </w:r>
    </w:p>
    <w:p w14:paraId="01B554D1">
      <w:pPr>
        <w:rPr>
          <w:rFonts w:hint="default"/>
          <w:lang w:val="en-US" w:eastAsia="zh-CN"/>
        </w:rPr>
      </w:pPr>
      <w:r>
        <w:rPr>
          <w:rFonts w:hint="default"/>
          <w:lang w:val="en-US" w:eastAsia="zh-CN"/>
        </w:rPr>
        <w:t>《国家安全监管总局关于公布第二批重点监管危险化工工艺目录和调整首批重点监管危险化工工艺中部分典型工艺的通知》</w:t>
      </w:r>
      <w:r>
        <w:rPr>
          <w:rFonts w:hint="eastAsia"/>
          <w:lang w:val="en-US" w:eastAsia="zh-CN"/>
        </w:rPr>
        <w:t>（</w:t>
      </w:r>
      <w:r>
        <w:rPr>
          <w:rFonts w:hint="default"/>
          <w:lang w:val="en-US" w:eastAsia="zh-CN"/>
        </w:rPr>
        <w:t>原国家安全生产管理监督管理总局安监总管三〔2013〕3号）</w:t>
      </w:r>
    </w:p>
    <w:p w14:paraId="4F061EA3">
      <w:pPr>
        <w:rPr>
          <w:rFonts w:hint="default"/>
          <w:lang w:val="en-US" w:eastAsia="zh-CN"/>
        </w:rPr>
      </w:pPr>
      <w:r>
        <w:rPr>
          <w:rFonts w:hint="default"/>
          <w:lang w:val="en-US" w:eastAsia="zh-CN"/>
        </w:rPr>
        <w:t>《国家安全监管总局关于公布第二批重点监管危险化学品名录的通知》</w:t>
      </w:r>
      <w:r>
        <w:rPr>
          <w:rFonts w:hint="eastAsia"/>
          <w:lang w:val="en-US" w:eastAsia="zh-CN"/>
        </w:rPr>
        <w:t>（</w:t>
      </w:r>
      <w:r>
        <w:rPr>
          <w:rFonts w:hint="default"/>
          <w:lang w:val="en-US" w:eastAsia="zh-CN"/>
        </w:rPr>
        <w:t>国家安全生产监督管理总局安监总管三〔2013〕12号）</w:t>
      </w:r>
    </w:p>
    <w:p w14:paraId="7D73C6F8">
      <w:pPr>
        <w:rPr>
          <w:rFonts w:hint="default"/>
          <w:lang w:val="en-US" w:eastAsia="zh-CN"/>
        </w:rPr>
      </w:pPr>
      <w:r>
        <w:rPr>
          <w:rFonts w:hint="default"/>
          <w:lang w:val="en-US" w:eastAsia="zh-CN"/>
        </w:rPr>
        <w:t>《国家安全监管总局办公厅关于印发首批重点监管的危险化学品安全措施和应急处置原则的通知》</w:t>
      </w:r>
      <w:r>
        <w:rPr>
          <w:rFonts w:hint="eastAsia"/>
          <w:lang w:val="en-US" w:eastAsia="zh-CN"/>
        </w:rPr>
        <w:t>（</w:t>
      </w:r>
      <w:r>
        <w:rPr>
          <w:rFonts w:hint="default"/>
          <w:lang w:val="en-US" w:eastAsia="zh-CN"/>
        </w:rPr>
        <w:t>原国家安全监管总局安监总厅管三〔2011〕142号）</w:t>
      </w:r>
    </w:p>
    <w:p w14:paraId="0E2B2ABA">
      <w:pPr>
        <w:rPr>
          <w:rFonts w:hint="default"/>
          <w:lang w:val="en-US" w:eastAsia="zh-CN"/>
        </w:rPr>
      </w:pPr>
      <w:r>
        <w:rPr>
          <w:rFonts w:hint="default"/>
          <w:lang w:val="en-US" w:eastAsia="zh-CN"/>
        </w:rPr>
        <w:t>《地质灾害防治条例》（国务院令</w:t>
      </w:r>
      <w:r>
        <w:rPr>
          <w:rFonts w:hint="eastAsia" w:ascii="宋体" w:hAnsi="宋体" w:eastAsia="宋体" w:cs="宋体"/>
          <w:lang w:val="en-US" w:eastAsia="zh-CN"/>
        </w:rPr>
        <w:t>[</w:t>
      </w:r>
      <w:r>
        <w:rPr>
          <w:rFonts w:hint="default"/>
          <w:lang w:val="en-US" w:eastAsia="zh-CN"/>
        </w:rPr>
        <w:t>2003</w:t>
      </w:r>
      <w:r>
        <w:rPr>
          <w:rFonts w:hint="eastAsia" w:ascii="宋体" w:hAnsi="宋体" w:eastAsia="宋体" w:cs="宋体"/>
          <w:lang w:val="en-US" w:eastAsia="zh-CN"/>
        </w:rPr>
        <w:t>]</w:t>
      </w:r>
      <w:r>
        <w:rPr>
          <w:rFonts w:hint="default"/>
          <w:lang w:val="en-US" w:eastAsia="zh-CN"/>
        </w:rPr>
        <w:t>第394号，自2004年3月1日起施行）</w:t>
      </w:r>
    </w:p>
    <w:p w14:paraId="64261AC3">
      <w:pPr>
        <w:rPr>
          <w:rFonts w:hint="default"/>
          <w:lang w:val="en-US" w:eastAsia="zh-CN"/>
        </w:rPr>
      </w:pPr>
      <w:r>
        <w:rPr>
          <w:rFonts w:hint="default"/>
          <w:lang w:val="en-US" w:eastAsia="zh-CN"/>
        </w:rPr>
        <w:t>《劳动保障监察条例》（国务院令第423号，2004年12月1日起施行）</w:t>
      </w:r>
    </w:p>
    <w:p w14:paraId="1092CDB4">
      <w:pPr>
        <w:rPr>
          <w:rFonts w:hint="default"/>
          <w:color w:val="auto"/>
          <w:lang w:val="en-US" w:eastAsia="zh-CN"/>
        </w:rPr>
      </w:pPr>
      <w:r>
        <w:rPr>
          <w:rFonts w:hint="default"/>
          <w:lang w:val="en-US" w:eastAsia="zh-CN"/>
        </w:rPr>
        <w:t>《生产安全事故报告和调查处理</w:t>
      </w:r>
      <w:r>
        <w:rPr>
          <w:rFonts w:hint="default"/>
          <w:color w:val="auto"/>
          <w:lang w:val="en-US" w:eastAsia="zh-CN"/>
        </w:rPr>
        <w:t>条例》（中华人民共和国国务院令</w:t>
      </w:r>
      <w:r>
        <w:rPr>
          <w:rFonts w:hint="eastAsia" w:ascii="宋体" w:hAnsi="宋体" w:eastAsia="宋体" w:cs="宋体"/>
          <w:color w:val="auto"/>
          <w:lang w:val="en-US" w:eastAsia="zh-CN"/>
        </w:rPr>
        <w:t>[</w:t>
      </w:r>
      <w:r>
        <w:rPr>
          <w:rFonts w:hint="default"/>
          <w:color w:val="auto"/>
          <w:lang w:val="en-US" w:eastAsia="zh-CN"/>
        </w:rPr>
        <w:t>2007</w:t>
      </w:r>
      <w:r>
        <w:rPr>
          <w:rFonts w:hint="eastAsia" w:ascii="宋体" w:hAnsi="宋体" w:eastAsia="宋体" w:cs="宋体"/>
          <w:color w:val="auto"/>
          <w:lang w:val="en-US" w:eastAsia="zh-CN"/>
        </w:rPr>
        <w:t>]</w:t>
      </w:r>
      <w:r>
        <w:rPr>
          <w:rFonts w:hint="default"/>
          <w:color w:val="auto"/>
          <w:lang w:val="en-US" w:eastAsia="zh-CN"/>
        </w:rPr>
        <w:t>第493号）</w:t>
      </w:r>
    </w:p>
    <w:p w14:paraId="2B824D02">
      <w:pPr>
        <w:rPr>
          <w:rFonts w:hint="default"/>
          <w:color w:val="auto"/>
          <w:lang w:val="en-US" w:eastAsia="zh-CN"/>
        </w:rPr>
      </w:pPr>
      <w:r>
        <w:rPr>
          <w:rFonts w:hint="default"/>
          <w:color w:val="auto"/>
          <w:lang w:val="en-US" w:eastAsia="zh-CN"/>
        </w:rPr>
        <w:t>《工伤保险条例》（国务院令</w:t>
      </w:r>
      <w:r>
        <w:rPr>
          <w:rFonts w:hint="eastAsia" w:ascii="宋体" w:hAnsi="宋体" w:eastAsia="宋体" w:cs="宋体"/>
          <w:color w:val="auto"/>
          <w:lang w:val="en-US" w:eastAsia="zh-CN"/>
        </w:rPr>
        <w:t>[</w:t>
      </w:r>
      <w:r>
        <w:rPr>
          <w:rFonts w:hint="default"/>
          <w:color w:val="auto"/>
          <w:lang w:val="en-US" w:eastAsia="zh-CN"/>
        </w:rPr>
        <w:t>201</w:t>
      </w:r>
      <w:r>
        <w:rPr>
          <w:rFonts w:hint="eastAsia"/>
          <w:color w:val="auto"/>
          <w:lang w:val="en-US" w:eastAsia="zh-CN"/>
        </w:rPr>
        <w:t>0</w:t>
      </w:r>
      <w:r>
        <w:rPr>
          <w:rFonts w:hint="eastAsia" w:ascii="宋体" w:hAnsi="宋体" w:eastAsia="宋体" w:cs="宋体"/>
          <w:color w:val="auto"/>
          <w:lang w:val="en-US" w:eastAsia="zh-CN"/>
        </w:rPr>
        <w:t>]</w:t>
      </w:r>
      <w:r>
        <w:rPr>
          <w:rFonts w:hint="default"/>
          <w:color w:val="auto"/>
          <w:lang w:val="en-US" w:eastAsia="zh-CN"/>
        </w:rPr>
        <w:t>第586号修改）</w:t>
      </w:r>
    </w:p>
    <w:p w14:paraId="54EE4C85">
      <w:pPr>
        <w:rPr>
          <w:color w:val="auto"/>
        </w:rPr>
      </w:pPr>
      <w:r>
        <w:rPr>
          <w:rFonts w:hint="default"/>
          <w:color w:val="auto"/>
          <w:lang w:val="en-US" w:eastAsia="zh-CN"/>
        </w:rPr>
        <w:t>《消防监督检查规定》（中华人民共和国公安部令</w:t>
      </w:r>
      <w:r>
        <w:rPr>
          <w:rFonts w:hint="eastAsia" w:ascii="宋体" w:hAnsi="宋体" w:eastAsia="宋体" w:cs="宋体"/>
          <w:color w:val="auto"/>
          <w:lang w:val="en-US" w:eastAsia="zh-CN"/>
        </w:rPr>
        <w:t>[</w:t>
      </w:r>
      <w:r>
        <w:rPr>
          <w:rFonts w:hint="default"/>
          <w:color w:val="auto"/>
          <w:lang w:val="en-US" w:eastAsia="zh-CN"/>
        </w:rPr>
        <w:t>2012</w:t>
      </w:r>
      <w:r>
        <w:rPr>
          <w:rFonts w:hint="eastAsia" w:ascii="宋体" w:hAnsi="宋体" w:eastAsia="宋体" w:cs="宋体"/>
          <w:color w:val="auto"/>
          <w:lang w:val="en-US" w:eastAsia="zh-CN"/>
        </w:rPr>
        <w:t>]</w:t>
      </w:r>
      <w:r>
        <w:rPr>
          <w:rFonts w:hint="default"/>
          <w:color w:val="auto"/>
          <w:lang w:val="en-US" w:eastAsia="zh-CN"/>
        </w:rPr>
        <w:t>第120号修订）</w:t>
      </w:r>
    </w:p>
    <w:p w14:paraId="49BAA581">
      <w:pPr>
        <w:rPr>
          <w:rFonts w:hint="default"/>
          <w:color w:val="auto"/>
          <w:lang w:val="en-US" w:eastAsia="zh-CN"/>
        </w:rPr>
      </w:pPr>
      <w:r>
        <w:rPr>
          <w:rFonts w:hint="default"/>
          <w:color w:val="auto"/>
          <w:lang w:val="en-US" w:eastAsia="zh-CN"/>
        </w:rPr>
        <w:t>《防雷减灾管理办法》（中国气象局令</w:t>
      </w:r>
      <w:r>
        <w:rPr>
          <w:rFonts w:hint="eastAsia" w:ascii="宋体" w:hAnsi="宋体" w:eastAsia="宋体" w:cs="宋体"/>
          <w:color w:val="auto"/>
          <w:lang w:val="en-US" w:eastAsia="zh-CN"/>
        </w:rPr>
        <w:t>[</w:t>
      </w:r>
      <w:r>
        <w:rPr>
          <w:rFonts w:hint="default"/>
          <w:color w:val="auto"/>
          <w:lang w:val="en-US" w:eastAsia="zh-CN"/>
        </w:rPr>
        <w:t>2013</w:t>
      </w:r>
      <w:r>
        <w:rPr>
          <w:rFonts w:hint="eastAsia" w:ascii="宋体" w:hAnsi="宋体" w:eastAsia="宋体" w:cs="宋体"/>
          <w:color w:val="auto"/>
          <w:lang w:val="en-US" w:eastAsia="zh-CN"/>
        </w:rPr>
        <w:t>]</w:t>
      </w:r>
      <w:r>
        <w:rPr>
          <w:rFonts w:hint="default"/>
          <w:color w:val="auto"/>
          <w:lang w:val="en-US" w:eastAsia="zh-CN"/>
        </w:rPr>
        <w:t>第24号）</w:t>
      </w:r>
    </w:p>
    <w:p w14:paraId="7C55AC79">
      <w:pPr>
        <w:rPr>
          <w:rFonts w:hint="default"/>
          <w:color w:val="auto"/>
          <w:lang w:val="en-US" w:eastAsia="zh-CN"/>
        </w:rPr>
      </w:pPr>
      <w:r>
        <w:rPr>
          <w:rFonts w:hint="default"/>
          <w:color w:val="auto"/>
          <w:lang w:val="en-US" w:eastAsia="zh-CN"/>
        </w:rPr>
        <w:t>《建设工程消防设计审查验收管理暂行规定》（中华人民共和国住房和城乡建设部令第51号，根据2023年8月21日中华人民共和国住房和城乡建设部令第58号修正）</w:t>
      </w:r>
    </w:p>
    <w:p w14:paraId="1347ABD4">
      <w:pPr>
        <w:rPr>
          <w:rFonts w:hint="default"/>
          <w:color w:val="auto"/>
          <w:lang w:val="en-US" w:eastAsia="zh-CN"/>
        </w:rPr>
      </w:pPr>
      <w:r>
        <w:rPr>
          <w:rFonts w:hint="default"/>
          <w:color w:val="auto"/>
          <w:lang w:val="en-US" w:eastAsia="zh-CN"/>
        </w:rPr>
        <w:t>《国家安全监管总局关于印发</w:t>
      </w:r>
      <w:r>
        <w:rPr>
          <w:rFonts w:hint="eastAsia" w:ascii="宋体" w:hAnsi="宋体" w:eastAsia="宋体" w:cs="宋体"/>
          <w:color w:val="auto"/>
          <w:lang w:val="en-US" w:eastAsia="zh-CN"/>
        </w:rPr>
        <w:t>&lt;</w:t>
      </w:r>
      <w:r>
        <w:rPr>
          <w:rFonts w:hint="default"/>
          <w:color w:val="auto"/>
          <w:lang w:val="en-US" w:eastAsia="zh-CN"/>
        </w:rPr>
        <w:t>危险化学品建设项目安全评价细则（试行）</w:t>
      </w:r>
      <w:r>
        <w:rPr>
          <w:rFonts w:hint="eastAsia" w:ascii="宋体" w:hAnsi="宋体" w:eastAsia="宋体" w:cs="宋体"/>
          <w:color w:val="auto"/>
          <w:lang w:val="en-US" w:eastAsia="zh-CN"/>
        </w:rPr>
        <w:t>&gt;</w:t>
      </w:r>
      <w:r>
        <w:rPr>
          <w:rFonts w:hint="default"/>
          <w:color w:val="auto"/>
          <w:lang w:val="en-US" w:eastAsia="zh-CN"/>
        </w:rPr>
        <w:t>的通知》</w:t>
      </w:r>
      <w:r>
        <w:rPr>
          <w:rFonts w:hint="eastAsia"/>
          <w:color w:val="auto"/>
          <w:lang w:val="en-US" w:eastAsia="zh-CN"/>
        </w:rPr>
        <w:t>（</w:t>
      </w:r>
      <w:r>
        <w:rPr>
          <w:rFonts w:hint="default"/>
          <w:color w:val="auto"/>
          <w:lang w:val="en-US" w:eastAsia="zh-CN"/>
        </w:rPr>
        <w:t>安监总危化（2007）255号</w:t>
      </w:r>
      <w:r>
        <w:rPr>
          <w:rFonts w:hint="eastAsia"/>
          <w:color w:val="auto"/>
          <w:lang w:val="en-US" w:eastAsia="zh-CN"/>
        </w:rPr>
        <w:t>）</w:t>
      </w:r>
    </w:p>
    <w:p w14:paraId="73765B98">
      <w:pPr>
        <w:rPr>
          <w:rFonts w:hint="default"/>
          <w:color w:val="auto"/>
          <w:lang w:val="en-US" w:eastAsia="zh-CN"/>
        </w:rPr>
      </w:pPr>
      <w:r>
        <w:rPr>
          <w:rFonts w:hint="default"/>
          <w:color w:val="auto"/>
          <w:lang w:val="en-US" w:eastAsia="zh-CN"/>
        </w:rPr>
        <w:t>《危险化学品输送管道安全管理规定》（国家安全生产监督管理总局令〔2015〕第79号修改）</w:t>
      </w:r>
    </w:p>
    <w:p w14:paraId="12324967">
      <w:pPr>
        <w:rPr>
          <w:rFonts w:hint="default"/>
          <w:color w:val="auto"/>
          <w:lang w:val="en-US" w:eastAsia="zh-CN"/>
        </w:rPr>
      </w:pPr>
      <w:r>
        <w:rPr>
          <w:rFonts w:hint="default"/>
          <w:color w:val="auto"/>
          <w:lang w:val="en-US" w:eastAsia="zh-CN"/>
        </w:rPr>
        <w:t>《生产经营单位安全培训规定》（国家安全生产监督管理总局令</w:t>
      </w:r>
      <w:r>
        <w:rPr>
          <w:rFonts w:hint="eastAsia" w:ascii="宋体" w:hAnsi="宋体" w:eastAsia="宋体" w:cs="宋体"/>
          <w:color w:val="auto"/>
          <w:lang w:val="en-US" w:eastAsia="zh-CN"/>
        </w:rPr>
        <w:t>[</w:t>
      </w:r>
      <w:r>
        <w:rPr>
          <w:rFonts w:hint="default"/>
          <w:color w:val="auto"/>
          <w:lang w:val="en-US" w:eastAsia="zh-CN"/>
        </w:rPr>
        <w:t>2015</w:t>
      </w:r>
      <w:r>
        <w:rPr>
          <w:rFonts w:hint="eastAsia" w:ascii="宋体" w:hAnsi="宋体" w:eastAsia="宋体" w:cs="宋体"/>
          <w:color w:val="auto"/>
          <w:lang w:val="en-US" w:eastAsia="zh-CN"/>
        </w:rPr>
        <w:t>]</w:t>
      </w:r>
      <w:r>
        <w:rPr>
          <w:rFonts w:hint="default"/>
          <w:color w:val="auto"/>
          <w:lang w:val="en-US" w:eastAsia="zh-CN"/>
        </w:rPr>
        <w:t>80号修改）</w:t>
      </w:r>
    </w:p>
    <w:p w14:paraId="50FB9361">
      <w:pPr>
        <w:rPr>
          <w:rFonts w:hint="default"/>
          <w:color w:val="auto"/>
          <w:lang w:val="en-US" w:eastAsia="zh-CN"/>
        </w:rPr>
      </w:pPr>
      <w:r>
        <w:rPr>
          <w:rFonts w:hint="default"/>
          <w:color w:val="auto"/>
          <w:lang w:val="en-US" w:eastAsia="zh-CN"/>
        </w:rPr>
        <w:t>《国家安全监管总局关于修改</w:t>
      </w:r>
      <w:r>
        <w:rPr>
          <w:rFonts w:hint="eastAsia" w:ascii="宋体" w:hAnsi="宋体" w:eastAsia="宋体" w:cs="宋体"/>
          <w:color w:val="auto"/>
          <w:lang w:val="en-US" w:eastAsia="zh-CN"/>
        </w:rPr>
        <w:t>&lt;</w:t>
      </w:r>
      <w:r>
        <w:rPr>
          <w:rFonts w:hint="default"/>
          <w:color w:val="auto"/>
          <w:lang w:val="en-US" w:eastAsia="zh-CN"/>
        </w:rPr>
        <w:t>生产安全事故报告和调查处理条例</w:t>
      </w:r>
      <w:r>
        <w:rPr>
          <w:rFonts w:hint="eastAsia" w:ascii="宋体" w:hAnsi="宋体" w:eastAsia="宋体" w:cs="宋体"/>
          <w:color w:val="auto"/>
          <w:lang w:val="en-US" w:eastAsia="zh-CN"/>
        </w:rPr>
        <w:t>&gt;</w:t>
      </w:r>
      <w:r>
        <w:rPr>
          <w:rFonts w:hint="default"/>
          <w:color w:val="auto"/>
          <w:lang w:val="en-US" w:eastAsia="zh-CN"/>
        </w:rPr>
        <w:t>罚款处罚暂行规定》（国家安全生产监督管理总局令201</w:t>
      </w:r>
      <w:r>
        <w:rPr>
          <w:rFonts w:hint="eastAsia"/>
          <w:color w:val="auto"/>
          <w:lang w:val="en-US" w:eastAsia="zh-CN"/>
        </w:rPr>
        <w:t>5</w:t>
      </w:r>
      <w:r>
        <w:rPr>
          <w:rFonts w:hint="default"/>
          <w:color w:val="auto"/>
          <w:lang w:val="en-US" w:eastAsia="zh-CN"/>
        </w:rPr>
        <w:t>年第</w:t>
      </w:r>
      <w:r>
        <w:rPr>
          <w:rFonts w:hint="eastAsia"/>
          <w:color w:val="auto"/>
          <w:lang w:val="en-US" w:eastAsia="zh-CN"/>
        </w:rPr>
        <w:t>77</w:t>
      </w:r>
      <w:r>
        <w:rPr>
          <w:rFonts w:hint="default"/>
          <w:color w:val="auto"/>
          <w:lang w:val="en-US" w:eastAsia="zh-CN"/>
        </w:rPr>
        <w:t>号）</w:t>
      </w:r>
    </w:p>
    <w:p w14:paraId="7F8C7FE1">
      <w:pPr>
        <w:rPr>
          <w:rFonts w:hint="default"/>
          <w:color w:val="auto"/>
          <w:lang w:val="en-US" w:eastAsia="zh-CN"/>
        </w:rPr>
      </w:pPr>
      <w:r>
        <w:rPr>
          <w:rFonts w:hint="default"/>
          <w:color w:val="auto"/>
          <w:lang w:val="en-US" w:eastAsia="zh-CN"/>
        </w:rPr>
        <w:t>《国家安全监管总局办公厅关于进一步加强加油站安全生产工作的通知》（安监总厅管三〔2016〕8号）</w:t>
      </w:r>
    </w:p>
    <w:p w14:paraId="059456A7">
      <w:pPr>
        <w:rPr>
          <w:rFonts w:hint="default"/>
          <w:color w:val="auto"/>
          <w:lang w:val="en-US" w:eastAsia="zh-CN"/>
        </w:rPr>
      </w:pPr>
      <w:r>
        <w:rPr>
          <w:rFonts w:hint="default"/>
          <w:color w:val="auto"/>
          <w:lang w:val="en-US" w:eastAsia="zh-CN"/>
        </w:rPr>
        <w:t>《化工和危险化学品生产经营单位重大生产安全事故隐患判定标准（试行）》（安监总管三〔2017〕121号）</w:t>
      </w:r>
    </w:p>
    <w:p w14:paraId="765F0DB9">
      <w:pPr>
        <w:rPr>
          <w:rFonts w:hint="default"/>
          <w:color w:val="auto"/>
          <w:lang w:val="en-US" w:eastAsia="zh-CN"/>
        </w:rPr>
      </w:pPr>
      <w:r>
        <w:rPr>
          <w:rFonts w:hint="default"/>
          <w:color w:val="auto"/>
          <w:lang w:val="en-US" w:eastAsia="zh-CN"/>
        </w:rPr>
        <w:t>《易制爆危险化学品名录》（公安部2017年5月11日公告）</w:t>
      </w:r>
    </w:p>
    <w:p w14:paraId="37ED24D3">
      <w:pPr>
        <w:rPr>
          <w:rFonts w:hint="default"/>
          <w:color w:val="auto"/>
          <w:lang w:val="en-US" w:eastAsia="zh-CN"/>
        </w:rPr>
      </w:pPr>
      <w:r>
        <w:rPr>
          <w:rFonts w:hint="default"/>
          <w:color w:val="auto"/>
          <w:lang w:val="en-US" w:eastAsia="zh-CN"/>
        </w:rPr>
        <w:t>《国务院安委会办公室关于全面加强企业全员安全生产责任制工作的通知》（安委办〔2017〕29号）</w:t>
      </w:r>
    </w:p>
    <w:p w14:paraId="0413C94B">
      <w:pPr>
        <w:rPr>
          <w:rFonts w:hint="default"/>
          <w:color w:val="auto"/>
          <w:lang w:val="en-US" w:eastAsia="zh-CN"/>
        </w:rPr>
      </w:pPr>
      <w:r>
        <w:rPr>
          <w:rFonts w:hint="default"/>
          <w:color w:val="auto"/>
          <w:lang w:val="en-US" w:eastAsia="zh-CN"/>
        </w:rPr>
        <w:t>《生产安全事故应急预案管理办法》（应急管理部令</w:t>
      </w:r>
      <w:r>
        <w:rPr>
          <w:rFonts w:hint="eastAsia" w:ascii="宋体" w:hAnsi="宋体" w:eastAsia="宋体" w:cs="宋体"/>
          <w:color w:val="auto"/>
          <w:lang w:val="en-US" w:eastAsia="zh-CN"/>
        </w:rPr>
        <w:t>[</w:t>
      </w:r>
      <w:r>
        <w:rPr>
          <w:rFonts w:hint="default"/>
          <w:color w:val="auto"/>
          <w:lang w:val="en-US" w:eastAsia="zh-CN"/>
        </w:rPr>
        <w:t>2019</w:t>
      </w:r>
      <w:r>
        <w:rPr>
          <w:rFonts w:hint="eastAsia" w:ascii="宋体" w:hAnsi="宋体" w:eastAsia="宋体" w:cs="宋体"/>
          <w:color w:val="auto"/>
          <w:lang w:val="en-US" w:eastAsia="zh-CN"/>
        </w:rPr>
        <w:t>]</w:t>
      </w:r>
      <w:r>
        <w:rPr>
          <w:rFonts w:hint="default"/>
          <w:color w:val="auto"/>
          <w:lang w:val="en-US" w:eastAsia="zh-CN"/>
        </w:rPr>
        <w:t>第2号修改）</w:t>
      </w:r>
    </w:p>
    <w:p w14:paraId="7EB427E2">
      <w:pPr>
        <w:rPr>
          <w:rFonts w:hint="default"/>
          <w:color w:val="auto"/>
          <w:lang w:val="en-US" w:eastAsia="zh-CN"/>
        </w:rPr>
      </w:pPr>
      <w:r>
        <w:rPr>
          <w:rFonts w:hint="default"/>
          <w:color w:val="auto"/>
          <w:lang w:val="en-US" w:eastAsia="zh-CN"/>
        </w:rPr>
        <w:t>《生产安全事故应急条例》（国务院令</w:t>
      </w:r>
      <w:r>
        <w:rPr>
          <w:rFonts w:hint="eastAsia" w:ascii="宋体" w:hAnsi="宋体" w:eastAsia="宋体" w:cs="宋体"/>
          <w:color w:val="auto"/>
          <w:lang w:val="en-US" w:eastAsia="zh-CN"/>
        </w:rPr>
        <w:t>[</w:t>
      </w:r>
      <w:r>
        <w:rPr>
          <w:rFonts w:hint="default"/>
          <w:color w:val="auto"/>
          <w:lang w:val="en-US" w:eastAsia="zh-CN"/>
        </w:rPr>
        <w:t>2019</w:t>
      </w:r>
      <w:r>
        <w:rPr>
          <w:rFonts w:hint="eastAsia" w:ascii="宋体" w:hAnsi="宋体" w:eastAsia="宋体" w:cs="宋体"/>
          <w:color w:val="auto"/>
          <w:lang w:val="en-US" w:eastAsia="zh-CN"/>
        </w:rPr>
        <w:t>]</w:t>
      </w:r>
      <w:r>
        <w:rPr>
          <w:rFonts w:hint="default"/>
          <w:color w:val="auto"/>
          <w:lang w:val="en-US" w:eastAsia="zh-CN"/>
        </w:rPr>
        <w:t>第708号）</w:t>
      </w:r>
    </w:p>
    <w:p w14:paraId="76C7B080">
      <w:pPr>
        <w:rPr>
          <w:rFonts w:hint="default"/>
          <w:lang w:val="en-US" w:eastAsia="zh-CN"/>
        </w:rPr>
      </w:pPr>
      <w:r>
        <w:rPr>
          <w:rFonts w:hint="default"/>
          <w:color w:val="auto"/>
          <w:lang w:val="en-US" w:eastAsia="zh-CN"/>
        </w:rPr>
        <w:t>《特别管控危险化学品目录（第一版）》（应急管理部、工业和信息化部、公安部、交通运输</w:t>
      </w:r>
      <w:r>
        <w:rPr>
          <w:rFonts w:hint="default"/>
          <w:lang w:val="en-US" w:eastAsia="zh-CN"/>
        </w:rPr>
        <w:t>部公告</w:t>
      </w:r>
      <w:r>
        <w:rPr>
          <w:rFonts w:hint="eastAsia" w:ascii="宋体" w:hAnsi="宋体" w:eastAsia="宋体" w:cs="宋体"/>
          <w:lang w:val="en-US" w:eastAsia="zh-CN"/>
        </w:rPr>
        <w:t>[</w:t>
      </w:r>
      <w:r>
        <w:rPr>
          <w:rFonts w:hint="default"/>
          <w:lang w:val="en-US" w:eastAsia="zh-CN"/>
        </w:rPr>
        <w:t>2020</w:t>
      </w:r>
      <w:r>
        <w:rPr>
          <w:rFonts w:hint="eastAsia" w:ascii="宋体" w:hAnsi="宋体" w:eastAsia="宋体" w:cs="宋体"/>
          <w:lang w:val="en-US" w:eastAsia="zh-CN"/>
        </w:rPr>
        <w:t>]</w:t>
      </w:r>
      <w:r>
        <w:rPr>
          <w:rFonts w:hint="default"/>
          <w:lang w:val="en-US" w:eastAsia="zh-CN"/>
        </w:rPr>
        <w:t>第3号）</w:t>
      </w:r>
    </w:p>
    <w:p w14:paraId="2FB3917D">
      <w:pPr>
        <w:rPr>
          <w:rFonts w:hint="default"/>
          <w:lang w:val="en-US" w:eastAsia="zh-CN"/>
        </w:rPr>
      </w:pPr>
      <w:r>
        <w:rPr>
          <w:rFonts w:hint="default"/>
          <w:lang w:val="en-US" w:eastAsia="zh-CN"/>
        </w:rPr>
        <w:t>《各类监控化学品名录》（工业和信息化部令〔2020〕第52号）</w:t>
      </w:r>
    </w:p>
    <w:p w14:paraId="3ADCF541">
      <w:pPr>
        <w:rPr>
          <w:rFonts w:hint="default"/>
          <w:lang w:val="en-US" w:eastAsia="zh-CN"/>
        </w:rPr>
      </w:pPr>
      <w:r>
        <w:rPr>
          <w:rFonts w:hint="default"/>
          <w:lang w:val="en-US" w:eastAsia="zh-CN"/>
        </w:rPr>
        <w:t>《应急管理部办公厅关于印发〈有限空间作业安全指导手册〉和4个专题系列折页的通知》（应急厅函〔2020〕299号）</w:t>
      </w:r>
    </w:p>
    <w:p w14:paraId="74F9BCDB">
      <w:pPr>
        <w:rPr>
          <w:rFonts w:hint="default"/>
          <w:lang w:val="en-US" w:eastAsia="zh-CN"/>
        </w:rPr>
      </w:pPr>
      <w:r>
        <w:rPr>
          <w:rFonts w:hint="default"/>
          <w:lang w:val="en-US" w:eastAsia="zh-CN"/>
        </w:rPr>
        <w:t>《特种作业人员安全技术培训考核管理规定》（国家安监总局令第80号第二次修正）</w:t>
      </w:r>
    </w:p>
    <w:p w14:paraId="0CB1D6DC">
      <w:pPr>
        <w:rPr>
          <w:rFonts w:hint="default"/>
          <w:lang w:val="en-US" w:eastAsia="zh-CN"/>
        </w:rPr>
      </w:pPr>
      <w:r>
        <w:rPr>
          <w:rFonts w:hint="default"/>
          <w:lang w:val="en-US" w:eastAsia="zh-CN"/>
        </w:rPr>
        <w:t>《特种设备作业人员监督管理办法》（国家质量监督检验检疫总局第140号令）</w:t>
      </w:r>
    </w:p>
    <w:p w14:paraId="55EAB1BC">
      <w:pPr>
        <w:rPr>
          <w:rFonts w:hint="default"/>
          <w:lang w:val="en-US" w:eastAsia="zh-CN"/>
        </w:rPr>
      </w:pPr>
      <w:r>
        <w:rPr>
          <w:rFonts w:hint="default"/>
          <w:lang w:val="en-US" w:eastAsia="zh-CN"/>
        </w:rPr>
        <w:t>《企业安全生产费用提取和使用管理办法》（财资〔2022〕136号）</w:t>
      </w:r>
    </w:p>
    <w:p w14:paraId="3394FAE9">
      <w:pPr>
        <w:rPr>
          <w:rFonts w:hint="default"/>
          <w:lang w:val="en-US" w:eastAsia="zh-CN"/>
        </w:rPr>
      </w:pPr>
      <w:r>
        <w:rPr>
          <w:rFonts w:hint="default"/>
          <w:lang w:val="en-US" w:eastAsia="zh-CN"/>
        </w:rPr>
        <w:t>《产业结构调整指导目录（2024年本）》（中华人民共和国国家发展和改革委员会令第7号）</w:t>
      </w:r>
    </w:p>
    <w:p w14:paraId="1783F32E">
      <w:pPr>
        <w:rPr>
          <w:rFonts w:hint="default"/>
          <w:color w:val="auto"/>
          <w:lang w:val="en-US" w:eastAsia="zh-CN"/>
        </w:rPr>
      </w:pPr>
      <w:r>
        <w:rPr>
          <w:rFonts w:hint="default"/>
          <w:lang w:val="en-US" w:eastAsia="zh-CN"/>
        </w:rPr>
        <w:t>《国务院安全生产委员会关于印发</w:t>
      </w:r>
      <w:r>
        <w:rPr>
          <w:rFonts w:hint="eastAsia" w:ascii="宋体" w:hAnsi="宋体" w:eastAsia="宋体" w:cs="宋体"/>
          <w:lang w:val="en-US" w:eastAsia="zh-CN"/>
        </w:rPr>
        <w:t>&lt;</w:t>
      </w:r>
      <w:r>
        <w:rPr>
          <w:rFonts w:hint="default"/>
          <w:lang w:val="en-US" w:eastAsia="zh-CN"/>
        </w:rPr>
        <w:t>安全生产治本攻坚三年行动方案（2</w:t>
      </w:r>
      <w:r>
        <w:rPr>
          <w:rFonts w:hint="default"/>
          <w:color w:val="auto"/>
          <w:lang w:val="en-US" w:eastAsia="zh-CN"/>
        </w:rPr>
        <w:t>024-2026年）</w:t>
      </w:r>
      <w:r>
        <w:rPr>
          <w:rFonts w:hint="eastAsia" w:ascii="宋体" w:hAnsi="宋体" w:eastAsia="宋体" w:cs="宋体"/>
          <w:color w:val="auto"/>
          <w:lang w:val="en-US" w:eastAsia="zh-CN"/>
        </w:rPr>
        <w:t>&gt;</w:t>
      </w:r>
      <w:r>
        <w:rPr>
          <w:rFonts w:hint="default"/>
          <w:color w:val="auto"/>
          <w:lang w:val="en-US" w:eastAsia="zh-CN"/>
        </w:rPr>
        <w:t>的通知》（安委</w:t>
      </w:r>
      <w:r>
        <w:rPr>
          <w:rFonts w:hint="eastAsia" w:ascii="宋体" w:hAnsi="宋体" w:eastAsia="宋体" w:cs="宋体"/>
          <w:color w:val="auto"/>
          <w:lang w:val="en-US" w:eastAsia="zh-CN"/>
        </w:rPr>
        <w:t>[</w:t>
      </w:r>
      <w:r>
        <w:rPr>
          <w:rFonts w:hint="default"/>
          <w:color w:val="auto"/>
          <w:lang w:val="en-US" w:eastAsia="zh-CN"/>
        </w:rPr>
        <w:t>2024</w:t>
      </w:r>
      <w:r>
        <w:rPr>
          <w:rFonts w:hint="eastAsia" w:ascii="宋体" w:hAnsi="宋体" w:eastAsia="宋体" w:cs="宋体"/>
          <w:color w:val="auto"/>
          <w:lang w:val="en-US" w:eastAsia="zh-CN"/>
        </w:rPr>
        <w:t>]</w:t>
      </w:r>
      <w:r>
        <w:rPr>
          <w:rFonts w:hint="default"/>
          <w:color w:val="auto"/>
          <w:lang w:val="en-US" w:eastAsia="zh-CN"/>
        </w:rPr>
        <w:t>2号）</w:t>
      </w:r>
    </w:p>
    <w:p w14:paraId="62B28A8D">
      <w:pPr>
        <w:rPr>
          <w:rFonts w:hint="default"/>
          <w:color w:val="auto"/>
          <w:lang w:val="en-US" w:eastAsia="zh-CN"/>
        </w:rPr>
      </w:pPr>
      <w:r>
        <w:rPr>
          <w:rFonts w:hint="default"/>
          <w:color w:val="auto"/>
          <w:lang w:val="en-US" w:eastAsia="zh-CN"/>
        </w:rPr>
        <w:t>《江西省安委会办公室关于印发江西省安全风险分级管控体系建设通用指南的通知》（江西省安全生产委员会办公室，赣安办字〔2016〕55号）</w:t>
      </w:r>
    </w:p>
    <w:p w14:paraId="42516010">
      <w:pPr>
        <w:rPr>
          <w:rFonts w:hint="default"/>
          <w:color w:val="auto"/>
          <w:lang w:val="en-US" w:eastAsia="zh-CN"/>
        </w:rPr>
      </w:pPr>
      <w:r>
        <w:rPr>
          <w:rFonts w:hint="default"/>
          <w:color w:val="auto"/>
          <w:lang w:val="en-US" w:eastAsia="zh-CN"/>
        </w:rPr>
        <w:t>《江西省生产安全事故隐患排查治理办法》（2018年10月10日省人民政府令第238号发布，2021年6月9日省人民政府令第250号第一次修正）</w:t>
      </w:r>
    </w:p>
    <w:p w14:paraId="68535285">
      <w:pPr>
        <w:rPr>
          <w:rFonts w:hint="default"/>
          <w:color w:val="auto"/>
          <w:lang w:val="en-US" w:eastAsia="zh-CN"/>
        </w:rPr>
      </w:pPr>
      <w:r>
        <w:rPr>
          <w:rFonts w:hint="default"/>
          <w:color w:val="auto"/>
          <w:lang w:val="en-US" w:eastAsia="zh-CN"/>
        </w:rPr>
        <w:t>《江西省消防条例》（2020年11月25日江西省第十三届人民代表大会常务委员会第二十五次会议第六次修正）</w:t>
      </w:r>
    </w:p>
    <w:p w14:paraId="7723C7B9">
      <w:pPr>
        <w:rPr>
          <w:rFonts w:hint="default"/>
          <w:color w:val="auto"/>
          <w:lang w:val="en-US" w:eastAsia="zh-CN"/>
        </w:rPr>
      </w:pPr>
      <w:r>
        <w:rPr>
          <w:rFonts w:hint="default"/>
          <w:color w:val="auto"/>
          <w:lang w:val="en-US" w:eastAsia="zh-CN"/>
        </w:rPr>
        <w:t>《关于印发江西省安全生产专项整治三年行</w:t>
      </w:r>
      <w:r>
        <w:rPr>
          <w:rFonts w:hint="eastAsia" w:ascii="宋体" w:hAnsi="宋体" w:eastAsia="宋体" w:cs="宋体"/>
          <w:color w:val="auto"/>
          <w:lang w:val="en-US" w:eastAsia="zh-CN"/>
        </w:rPr>
        <w:t>动“十大攻坚战”工</w:t>
      </w:r>
      <w:r>
        <w:rPr>
          <w:rFonts w:hint="default"/>
          <w:color w:val="auto"/>
          <w:lang w:val="en-US" w:eastAsia="zh-CN"/>
        </w:rPr>
        <w:t>作方案的通知》（江西省安全生产委员会，赣安</w:t>
      </w:r>
      <w:r>
        <w:rPr>
          <w:rFonts w:hint="eastAsia" w:ascii="宋体" w:hAnsi="宋体" w:eastAsia="宋体" w:cs="宋体"/>
          <w:color w:val="auto"/>
          <w:lang w:val="en-US" w:eastAsia="zh-CN"/>
        </w:rPr>
        <w:t>[</w:t>
      </w:r>
      <w:r>
        <w:rPr>
          <w:rFonts w:hint="default"/>
          <w:color w:val="auto"/>
          <w:lang w:val="en-US" w:eastAsia="zh-CN"/>
        </w:rPr>
        <w:t>2021</w:t>
      </w:r>
      <w:r>
        <w:rPr>
          <w:rFonts w:hint="eastAsia" w:ascii="宋体" w:hAnsi="宋体" w:eastAsia="宋体" w:cs="宋体"/>
          <w:color w:val="auto"/>
          <w:lang w:val="en-US" w:eastAsia="zh-CN"/>
        </w:rPr>
        <w:t>]</w:t>
      </w:r>
      <w:r>
        <w:rPr>
          <w:rFonts w:hint="default"/>
          <w:color w:val="auto"/>
          <w:lang w:val="en-US" w:eastAsia="zh-CN"/>
        </w:rPr>
        <w:t>2号）</w:t>
      </w:r>
    </w:p>
    <w:p w14:paraId="42A26057">
      <w:pPr>
        <w:rPr>
          <w:rFonts w:hint="default"/>
          <w:color w:val="auto"/>
          <w:lang w:val="en-US" w:eastAsia="zh-CN"/>
        </w:rPr>
      </w:pPr>
      <w:r>
        <w:rPr>
          <w:rFonts w:hint="default"/>
          <w:color w:val="auto"/>
          <w:lang w:val="en-US" w:eastAsia="zh-CN"/>
        </w:rPr>
        <w:t>《江西省财政厅 江西省应急管理厅关于切实加强企业安全生产费用提取和使用管理工作的通知》（赣财资〔2023〕14号）</w:t>
      </w:r>
    </w:p>
    <w:p w14:paraId="6775AF00">
      <w:pPr>
        <w:rPr>
          <w:rFonts w:hint="default"/>
          <w:color w:val="auto"/>
          <w:lang w:val="en-US" w:eastAsia="zh-CN"/>
        </w:rPr>
      </w:pPr>
      <w:r>
        <w:rPr>
          <w:rFonts w:hint="default"/>
          <w:color w:val="auto"/>
          <w:lang w:val="en-US" w:eastAsia="zh-CN"/>
        </w:rPr>
        <w:t>《江西省应急管理厅关于印发江西省应急救援能力巩固提升行动实施方案的通知》（赣应急字〔2023〕29号）</w:t>
      </w:r>
    </w:p>
    <w:p w14:paraId="799C187E">
      <w:pPr>
        <w:rPr>
          <w:rFonts w:hint="default"/>
          <w:color w:val="auto"/>
          <w:lang w:val="en-US" w:eastAsia="zh-CN"/>
        </w:rPr>
      </w:pPr>
      <w:r>
        <w:rPr>
          <w:rFonts w:hint="default"/>
          <w:color w:val="auto"/>
          <w:lang w:val="en-US" w:eastAsia="zh-CN"/>
        </w:rPr>
        <w:t>《江西省应急管理厅办公室关于印发〈加油站安全检查表〉的通知》（赣应急办字</w:t>
      </w:r>
      <w:r>
        <w:rPr>
          <w:rFonts w:hint="eastAsia" w:ascii="宋体" w:hAnsi="宋体" w:eastAsia="宋体" w:cs="宋体"/>
          <w:color w:val="auto"/>
          <w:lang w:val="en-US" w:eastAsia="zh-CN"/>
        </w:rPr>
        <w:t>[</w:t>
      </w:r>
      <w:r>
        <w:rPr>
          <w:rFonts w:hint="default"/>
          <w:color w:val="auto"/>
          <w:lang w:val="en-US" w:eastAsia="zh-CN"/>
        </w:rPr>
        <w:t>2023</w:t>
      </w:r>
      <w:r>
        <w:rPr>
          <w:rFonts w:hint="eastAsia" w:ascii="宋体" w:hAnsi="宋体" w:eastAsia="宋体" w:cs="宋体"/>
          <w:color w:val="auto"/>
          <w:lang w:val="en-US" w:eastAsia="zh-CN"/>
        </w:rPr>
        <w:t>]</w:t>
      </w:r>
      <w:r>
        <w:rPr>
          <w:rFonts w:hint="default"/>
          <w:color w:val="auto"/>
          <w:lang w:val="en-US" w:eastAsia="zh-CN"/>
        </w:rPr>
        <w:t>111号）</w:t>
      </w:r>
    </w:p>
    <w:p w14:paraId="5E269F76">
      <w:pPr>
        <w:rPr>
          <w:rFonts w:hint="default"/>
          <w:color w:val="auto"/>
          <w:lang w:val="en-US" w:eastAsia="zh-CN"/>
        </w:rPr>
      </w:pPr>
      <w:r>
        <w:rPr>
          <w:rFonts w:hint="default"/>
          <w:color w:val="auto"/>
          <w:lang w:val="en-US" w:eastAsia="zh-CN"/>
        </w:rPr>
        <w:t>《江西省安全生产条例》（2023年7月26日江西省第十四届人民代表大会常务委员会第三次会议第二次修订)</w:t>
      </w:r>
    </w:p>
    <w:p w14:paraId="1C5FACEA">
      <w:pPr>
        <w:rPr>
          <w:rFonts w:hint="default"/>
          <w:color w:val="auto"/>
          <w:lang w:val="en-US" w:eastAsia="zh-CN"/>
        </w:rPr>
      </w:pPr>
      <w:r>
        <w:rPr>
          <w:rFonts w:hint="default"/>
          <w:color w:val="auto"/>
          <w:lang w:val="en-US" w:eastAsia="zh-CN"/>
        </w:rPr>
        <w:t>《江西省安委会办公室关于推动生产经营单位构建安全风险分级管控和隐患排查治理双重预防机制的指导意见》（江西省安委会办公室</w:t>
      </w:r>
      <w:r>
        <w:rPr>
          <w:rFonts w:hint="eastAsia"/>
          <w:color w:val="auto"/>
          <w:lang w:val="en-US" w:eastAsia="zh-CN"/>
        </w:rPr>
        <w:t>，</w:t>
      </w:r>
      <w:r>
        <w:rPr>
          <w:rFonts w:hint="default"/>
          <w:color w:val="auto"/>
          <w:lang w:val="en-US" w:eastAsia="zh-CN"/>
        </w:rPr>
        <w:t>2023年3月3日）</w:t>
      </w:r>
    </w:p>
    <w:p w14:paraId="18D986C1">
      <w:pPr>
        <w:bidi w:val="0"/>
        <w:rPr>
          <w:color w:val="auto"/>
        </w:rPr>
      </w:pPr>
      <w:r>
        <w:rPr>
          <w:rFonts w:hint="default"/>
          <w:color w:val="auto"/>
          <w:lang w:val="en-US" w:eastAsia="zh-CN"/>
        </w:rPr>
        <w:t>《江西省应急管理厅办公室关于印发</w:t>
      </w:r>
      <w:r>
        <w:rPr>
          <w:rFonts w:hint="eastAsia" w:ascii="宋体" w:hAnsi="宋体" w:eastAsia="宋体" w:cs="宋体"/>
          <w:color w:val="auto"/>
          <w:lang w:val="en-US" w:eastAsia="zh-CN"/>
        </w:rPr>
        <w:t>&lt;</w:t>
      </w:r>
      <w:r>
        <w:rPr>
          <w:rFonts w:hint="default"/>
          <w:color w:val="auto"/>
          <w:lang w:val="en-US" w:eastAsia="zh-CN"/>
        </w:rPr>
        <w:t>全省特种作业人员职业资格认定工作实施方案</w:t>
      </w:r>
      <w:r>
        <w:rPr>
          <w:rFonts w:hint="eastAsia" w:ascii="宋体" w:hAnsi="宋体" w:eastAsia="宋体" w:cs="宋体"/>
          <w:color w:val="auto"/>
          <w:lang w:val="en-US" w:eastAsia="zh-CN"/>
        </w:rPr>
        <w:t>&gt;</w:t>
      </w:r>
      <w:r>
        <w:rPr>
          <w:rFonts w:hint="default"/>
          <w:color w:val="auto"/>
          <w:lang w:val="en-US" w:eastAsia="zh-CN"/>
        </w:rPr>
        <w:t>的通知</w:t>
      </w:r>
      <w:r>
        <w:rPr>
          <w:rFonts w:hint="eastAsia"/>
          <w:color w:val="auto"/>
          <w:lang w:val="en-US" w:eastAsia="zh-CN"/>
        </w:rPr>
        <w:t>》</w:t>
      </w:r>
      <w:r>
        <w:rPr>
          <w:rFonts w:hint="default"/>
          <w:color w:val="auto"/>
          <w:lang w:val="en-US" w:eastAsia="zh-CN"/>
        </w:rPr>
        <w:t>（赣应急办字</w:t>
      </w:r>
      <w:r>
        <w:rPr>
          <w:rFonts w:hint="eastAsia" w:ascii="宋体" w:hAnsi="宋体" w:eastAsia="宋体" w:cs="宋体"/>
          <w:color w:val="auto"/>
          <w:lang w:val="en-US" w:eastAsia="zh-CN"/>
        </w:rPr>
        <w:t>[</w:t>
      </w:r>
      <w:r>
        <w:rPr>
          <w:rFonts w:hint="default"/>
          <w:color w:val="auto"/>
          <w:lang w:val="en-US" w:eastAsia="zh-CN"/>
        </w:rPr>
        <w:t>2023</w:t>
      </w:r>
      <w:r>
        <w:rPr>
          <w:rFonts w:hint="eastAsia" w:ascii="宋体" w:hAnsi="宋体" w:eastAsia="宋体" w:cs="宋体"/>
          <w:color w:val="auto"/>
          <w:lang w:val="en-US" w:eastAsia="zh-CN"/>
        </w:rPr>
        <w:t>]</w:t>
      </w:r>
      <w:r>
        <w:rPr>
          <w:rFonts w:hint="default"/>
          <w:color w:val="auto"/>
          <w:lang w:val="en-US" w:eastAsia="zh-CN"/>
        </w:rPr>
        <w:t>26号）</w:t>
      </w:r>
    </w:p>
    <w:p w14:paraId="21326F73">
      <w:pPr>
        <w:pStyle w:val="8"/>
        <w:rPr>
          <w:rFonts w:hint="eastAsia" w:eastAsia="宋体"/>
          <w:color w:val="auto"/>
          <w:lang w:eastAsia="zh-CN"/>
        </w:rPr>
      </w:pPr>
      <w:r>
        <w:rPr>
          <w:color w:val="auto"/>
          <w:sz w:val="28"/>
          <w:szCs w:val="28"/>
        </w:rPr>
        <w:t>《江西省安全生产应急预案管理办法》</w:t>
      </w:r>
      <w:r>
        <w:rPr>
          <w:rFonts w:hint="eastAsia"/>
          <w:color w:val="auto"/>
          <w:sz w:val="28"/>
          <w:szCs w:val="28"/>
          <w:lang w:eastAsia="zh-CN"/>
        </w:rPr>
        <w:t>（</w:t>
      </w:r>
      <w:r>
        <w:rPr>
          <w:color w:val="auto"/>
          <w:sz w:val="28"/>
          <w:szCs w:val="28"/>
        </w:rPr>
        <w:t>江西省人民政府办公厅</w:t>
      </w:r>
      <w:r>
        <w:rPr>
          <w:rFonts w:hint="eastAsia"/>
          <w:color w:val="auto"/>
          <w:sz w:val="28"/>
          <w:szCs w:val="28"/>
          <w:lang w:eastAsia="zh-CN"/>
        </w:rPr>
        <w:t>，赣府厅发〔2024〕26号，</w:t>
      </w:r>
      <w:r>
        <w:rPr>
          <w:rFonts w:hint="eastAsia"/>
          <w:color w:val="auto"/>
          <w:sz w:val="28"/>
          <w:szCs w:val="28"/>
        </w:rPr>
        <w:t>2024年9月13日</w:t>
      </w:r>
      <w:r>
        <w:rPr>
          <w:rFonts w:hint="eastAsia"/>
          <w:color w:val="auto"/>
          <w:sz w:val="28"/>
          <w:szCs w:val="28"/>
          <w:lang w:eastAsia="zh-CN"/>
        </w:rPr>
        <w:t>）</w:t>
      </w:r>
    </w:p>
    <w:p w14:paraId="5A311249">
      <w:pPr>
        <w:rPr>
          <w:rFonts w:hint="default"/>
          <w:color w:val="auto"/>
          <w:lang w:val="en-US" w:eastAsia="zh-CN"/>
        </w:rPr>
      </w:pPr>
      <w:r>
        <w:rPr>
          <w:rFonts w:hint="default"/>
          <w:color w:val="auto"/>
          <w:lang w:val="en-US" w:eastAsia="zh-CN"/>
        </w:rPr>
        <w:t>《江西省人民政府办公厅关于印发</w:t>
      </w:r>
      <w:r>
        <w:rPr>
          <w:rFonts w:hint="eastAsia" w:ascii="宋体" w:hAnsi="宋体" w:eastAsia="宋体" w:cs="宋体"/>
          <w:color w:val="auto"/>
          <w:lang w:val="en-US" w:eastAsia="zh-CN"/>
        </w:rPr>
        <w:t>&lt;</w:t>
      </w:r>
      <w:r>
        <w:rPr>
          <w:rFonts w:hint="default"/>
          <w:color w:val="auto"/>
          <w:lang w:val="en-US" w:eastAsia="zh-CN"/>
        </w:rPr>
        <w:t>江西省生产经营单位安全生产主体责任规定</w:t>
      </w:r>
      <w:r>
        <w:rPr>
          <w:rFonts w:hint="eastAsia" w:ascii="宋体" w:hAnsi="宋体" w:eastAsia="宋体" w:cs="宋体"/>
          <w:color w:val="auto"/>
          <w:lang w:val="en-US" w:eastAsia="zh-CN"/>
        </w:rPr>
        <w:t>&gt;</w:t>
      </w:r>
      <w:r>
        <w:rPr>
          <w:rFonts w:hint="default"/>
          <w:color w:val="auto"/>
          <w:lang w:val="en-US" w:eastAsia="zh-CN"/>
        </w:rPr>
        <w:t>的通知》（赣府厅发〔2024〕20号）</w:t>
      </w:r>
    </w:p>
    <w:p w14:paraId="3DAA2C14">
      <w:pPr>
        <w:rPr>
          <w:rFonts w:hint="default"/>
          <w:b/>
          <w:bCs/>
          <w:lang w:val="en-US" w:eastAsia="zh-CN"/>
        </w:rPr>
      </w:pPr>
      <w:r>
        <w:rPr>
          <w:rFonts w:hint="eastAsia"/>
          <w:b/>
          <w:bCs/>
          <w:lang w:val="en-US" w:eastAsia="zh-CN"/>
        </w:rPr>
        <w:t>二、国家及行业标准规范</w:t>
      </w:r>
    </w:p>
    <w:p w14:paraId="2B78C6DC">
      <w:pPr>
        <w:rPr>
          <w:rFonts w:hint="default"/>
          <w:lang w:val="en-US" w:eastAsia="zh-CN"/>
        </w:rPr>
      </w:pPr>
      <w:r>
        <w:rPr>
          <w:rFonts w:hint="default"/>
          <w:lang w:val="en-US" w:eastAsia="zh-CN"/>
        </w:rPr>
        <w:t>《企业职工伤亡事故分类》</w:t>
      </w:r>
      <w:r>
        <w:rPr>
          <w:rFonts w:hint="eastAsia"/>
          <w:lang w:val="en-US" w:eastAsia="zh-CN"/>
        </w:rPr>
        <w:t xml:space="preserve">                          </w:t>
      </w:r>
      <w:r>
        <w:rPr>
          <w:rFonts w:hint="default"/>
          <w:lang w:val="en-US" w:eastAsia="zh-CN"/>
        </w:rPr>
        <w:t>GB6441-1986</w:t>
      </w:r>
    </w:p>
    <w:p w14:paraId="6BCE73A8">
      <w:pPr>
        <w:ind w:left="280" w:leftChars="100" w:firstLine="280" w:firstLineChars="100"/>
        <w:rPr>
          <w:rFonts w:hint="default"/>
          <w:lang w:val="en-US" w:eastAsia="zh-CN"/>
        </w:rPr>
      </w:pPr>
      <w:r>
        <w:rPr>
          <w:rFonts w:hint="default"/>
          <w:lang w:val="en-US" w:eastAsia="zh-CN"/>
        </w:rPr>
        <w:t>《工业金属管道设计规范（2008年版）》</w:t>
      </w:r>
      <w:r>
        <w:rPr>
          <w:rFonts w:hint="eastAsia"/>
          <w:lang w:val="en-US" w:eastAsia="zh-CN"/>
        </w:rPr>
        <w:t xml:space="preserve">              </w:t>
      </w:r>
      <w:r>
        <w:rPr>
          <w:rFonts w:hint="default"/>
          <w:lang w:val="en-US" w:eastAsia="zh-CN"/>
        </w:rPr>
        <w:t>GB501316-2000</w:t>
      </w:r>
    </w:p>
    <w:p w14:paraId="59FBA893">
      <w:pPr>
        <w:rPr>
          <w:rFonts w:hint="default"/>
          <w:lang w:val="en-US" w:eastAsia="zh-CN"/>
        </w:rPr>
      </w:pPr>
      <w:r>
        <w:rPr>
          <w:rFonts w:hint="default"/>
          <w:lang w:val="en-US" w:eastAsia="zh-CN"/>
        </w:rPr>
        <w:t>《工业管道的基本识别色、识别符号和安全标识》</w:t>
      </w:r>
      <w:r>
        <w:rPr>
          <w:rFonts w:hint="eastAsia"/>
          <w:lang w:val="en-US" w:eastAsia="zh-CN"/>
        </w:rPr>
        <w:t xml:space="preserve">       </w:t>
      </w:r>
      <w:r>
        <w:rPr>
          <w:rFonts w:hint="default"/>
          <w:lang w:val="en-US" w:eastAsia="zh-CN"/>
        </w:rPr>
        <w:t>GB7231-2003</w:t>
      </w:r>
    </w:p>
    <w:p w14:paraId="5DC8653E">
      <w:pPr>
        <w:ind w:left="560" w:leftChars="200" w:firstLine="0" w:firstLineChars="0"/>
        <w:rPr>
          <w:rFonts w:hint="default"/>
          <w:lang w:val="en-US" w:eastAsia="zh-CN"/>
        </w:rPr>
      </w:pPr>
      <w:r>
        <w:rPr>
          <w:rFonts w:hint="default"/>
          <w:lang w:val="en-US" w:eastAsia="zh-CN"/>
        </w:rPr>
        <w:t>《建筑灭火器配置设计规范》</w:t>
      </w:r>
      <w:r>
        <w:rPr>
          <w:rFonts w:hint="eastAsia"/>
          <w:lang w:val="en-US" w:eastAsia="zh-CN"/>
        </w:rPr>
        <w:t xml:space="preserve">                       </w:t>
      </w:r>
      <w:r>
        <w:rPr>
          <w:rFonts w:hint="default"/>
          <w:lang w:val="en-US" w:eastAsia="zh-CN"/>
        </w:rPr>
        <w:t>GB50140-2005</w:t>
      </w:r>
    </w:p>
    <w:p w14:paraId="276B332E">
      <w:pPr>
        <w:ind w:left="560" w:leftChars="200" w:firstLine="0" w:firstLineChars="0"/>
        <w:rPr>
          <w:rFonts w:hint="default"/>
          <w:lang w:val="en-US" w:eastAsia="zh-CN"/>
        </w:rPr>
      </w:pPr>
      <w:r>
        <w:rPr>
          <w:rFonts w:hint="default"/>
          <w:lang w:val="en-US" w:eastAsia="zh-CN"/>
        </w:rPr>
        <w:t>《防止静电事故通用导则》</w:t>
      </w:r>
      <w:r>
        <w:rPr>
          <w:rFonts w:hint="eastAsia"/>
          <w:lang w:val="en-US" w:eastAsia="zh-CN"/>
        </w:rPr>
        <w:t xml:space="preserve">                         </w:t>
      </w:r>
      <w:r>
        <w:rPr>
          <w:rFonts w:hint="default"/>
          <w:lang w:val="en-US" w:eastAsia="zh-CN"/>
        </w:rPr>
        <w:t>GB12158-2006</w:t>
      </w:r>
    </w:p>
    <w:p w14:paraId="65C6A714">
      <w:pPr>
        <w:rPr>
          <w:rFonts w:hint="default"/>
          <w:lang w:val="en-US" w:eastAsia="zh-CN"/>
        </w:rPr>
      </w:pPr>
      <w:r>
        <w:rPr>
          <w:rFonts w:hint="default"/>
          <w:lang w:val="en-US" w:eastAsia="zh-CN"/>
        </w:rPr>
        <w:t>《安全标志及其使用导则》</w:t>
      </w:r>
      <w:r>
        <w:rPr>
          <w:rFonts w:hint="eastAsia"/>
          <w:lang w:val="en-US" w:eastAsia="zh-CN"/>
        </w:rPr>
        <w:t xml:space="preserve">                          </w:t>
      </w:r>
      <w:r>
        <w:rPr>
          <w:rFonts w:hint="default"/>
          <w:lang w:val="en-US" w:eastAsia="zh-CN"/>
        </w:rPr>
        <w:t>GB2894-2008</w:t>
      </w:r>
    </w:p>
    <w:p w14:paraId="1B23296E">
      <w:pPr>
        <w:ind w:left="560" w:leftChars="200" w:firstLine="0" w:firstLineChars="0"/>
        <w:rPr>
          <w:rFonts w:hint="default"/>
          <w:lang w:val="en-US" w:eastAsia="zh-CN"/>
        </w:rPr>
      </w:pPr>
      <w:r>
        <w:rPr>
          <w:rFonts w:hint="default"/>
          <w:lang w:val="en-US" w:eastAsia="zh-CN"/>
        </w:rPr>
        <w:t>《液体石油产品静电安全规程》</w:t>
      </w:r>
      <w:r>
        <w:rPr>
          <w:rFonts w:hint="eastAsia"/>
          <w:lang w:val="en-US" w:eastAsia="zh-CN"/>
        </w:rPr>
        <w:t xml:space="preserve">                     </w:t>
      </w:r>
      <w:r>
        <w:rPr>
          <w:rFonts w:hint="default"/>
          <w:lang w:val="en-US" w:eastAsia="zh-CN"/>
        </w:rPr>
        <w:t>GB13348-2009</w:t>
      </w:r>
    </w:p>
    <w:p w14:paraId="13515B6A">
      <w:pPr>
        <w:rPr>
          <w:rFonts w:hint="default"/>
          <w:lang w:val="en-US" w:eastAsia="zh-CN"/>
        </w:rPr>
      </w:pPr>
      <w:r>
        <w:rPr>
          <w:rFonts w:hint="default"/>
          <w:lang w:val="en-US" w:eastAsia="zh-CN"/>
        </w:rPr>
        <w:t>《供配电系统设计规范》</w:t>
      </w:r>
      <w:r>
        <w:rPr>
          <w:rFonts w:hint="eastAsia"/>
          <w:lang w:val="en-US" w:eastAsia="zh-CN"/>
        </w:rPr>
        <w:t xml:space="preserve">                           </w:t>
      </w:r>
      <w:r>
        <w:rPr>
          <w:rFonts w:hint="default"/>
          <w:lang w:val="en-US" w:eastAsia="zh-CN"/>
        </w:rPr>
        <w:t>GB50052-2009</w:t>
      </w:r>
    </w:p>
    <w:p w14:paraId="41E06679">
      <w:pPr>
        <w:rPr>
          <w:rFonts w:hint="default"/>
          <w:lang w:val="en-US" w:eastAsia="zh-CN"/>
        </w:rPr>
      </w:pPr>
      <w:r>
        <w:rPr>
          <w:rFonts w:hint="default"/>
          <w:lang w:val="en-US" w:eastAsia="zh-CN"/>
        </w:rPr>
        <w:t>《建筑物防雷设计规范》</w:t>
      </w:r>
      <w:r>
        <w:rPr>
          <w:rFonts w:hint="eastAsia"/>
          <w:lang w:val="en-US" w:eastAsia="zh-CN"/>
        </w:rPr>
        <w:t xml:space="preserve">                           </w:t>
      </w:r>
      <w:r>
        <w:rPr>
          <w:rFonts w:hint="default"/>
          <w:lang w:val="en-US" w:eastAsia="zh-CN"/>
        </w:rPr>
        <w:t>GB50057-2010</w:t>
      </w:r>
    </w:p>
    <w:p w14:paraId="75191A42">
      <w:pPr>
        <w:rPr>
          <w:rFonts w:hint="default"/>
          <w:lang w:val="en-US" w:eastAsia="zh-CN"/>
        </w:rPr>
      </w:pPr>
      <w:r>
        <w:rPr>
          <w:rFonts w:hint="default"/>
          <w:lang w:val="en-US" w:eastAsia="zh-CN"/>
        </w:rPr>
        <w:t>《低压配电设计规范》</w:t>
      </w:r>
      <w:r>
        <w:rPr>
          <w:rFonts w:hint="eastAsia"/>
          <w:lang w:val="en-US" w:eastAsia="zh-CN"/>
        </w:rPr>
        <w:t xml:space="preserve">                             </w:t>
      </w:r>
      <w:r>
        <w:rPr>
          <w:rFonts w:hint="default"/>
          <w:lang w:val="en-US" w:eastAsia="zh-CN"/>
        </w:rPr>
        <w:t>GB50054-2011</w:t>
      </w:r>
    </w:p>
    <w:p w14:paraId="06468707">
      <w:pPr>
        <w:rPr>
          <w:rFonts w:hint="default"/>
          <w:lang w:val="en-US" w:eastAsia="zh-CN"/>
        </w:rPr>
      </w:pPr>
      <w:r>
        <w:rPr>
          <w:rFonts w:hint="default"/>
          <w:lang w:val="en-US" w:eastAsia="zh-CN"/>
        </w:rPr>
        <w:t>《易燃易爆性商品储存养护技术条件》</w:t>
      </w:r>
      <w:r>
        <w:rPr>
          <w:rFonts w:hint="eastAsia"/>
          <w:lang w:val="en-US" w:eastAsia="zh-CN"/>
        </w:rPr>
        <w:t xml:space="preserve">               </w:t>
      </w:r>
      <w:r>
        <w:rPr>
          <w:rFonts w:hint="default"/>
          <w:lang w:val="en-US" w:eastAsia="zh-CN"/>
        </w:rPr>
        <w:t>GB17914-2013</w:t>
      </w:r>
    </w:p>
    <w:p w14:paraId="1CBD5B9A">
      <w:pPr>
        <w:rPr>
          <w:rFonts w:hint="default"/>
          <w:lang w:val="en-US" w:eastAsia="zh-CN"/>
        </w:rPr>
      </w:pPr>
      <w:r>
        <w:rPr>
          <w:rFonts w:hint="default"/>
          <w:lang w:val="en-US" w:eastAsia="zh-CN"/>
        </w:rPr>
        <w:t>《爆炸危险环境电力装置设计规范》</w:t>
      </w:r>
      <w:r>
        <w:rPr>
          <w:rFonts w:hint="eastAsia"/>
          <w:lang w:val="en-US" w:eastAsia="zh-CN"/>
        </w:rPr>
        <w:t xml:space="preserve">                 </w:t>
      </w:r>
      <w:r>
        <w:rPr>
          <w:rFonts w:hint="default"/>
          <w:lang w:val="en-US" w:eastAsia="zh-CN"/>
        </w:rPr>
        <w:t>GB50058-2014</w:t>
      </w:r>
    </w:p>
    <w:p w14:paraId="6E3A5C22">
      <w:pPr>
        <w:rPr>
          <w:rFonts w:hint="default"/>
          <w:lang w:val="en-US" w:eastAsia="zh-CN"/>
        </w:rPr>
      </w:pPr>
      <w:r>
        <w:rPr>
          <w:rFonts w:hint="default"/>
          <w:lang w:val="en-US" w:eastAsia="zh-CN"/>
        </w:rPr>
        <w:t>《建筑设计防火规范（2018年版）》</w:t>
      </w:r>
      <w:r>
        <w:rPr>
          <w:rFonts w:hint="eastAsia"/>
          <w:lang w:val="en-US" w:eastAsia="zh-CN"/>
        </w:rPr>
        <w:t xml:space="preserve">                   </w:t>
      </w:r>
      <w:r>
        <w:rPr>
          <w:rFonts w:hint="default"/>
          <w:lang w:val="en-US" w:eastAsia="zh-CN"/>
        </w:rPr>
        <w:t>GB50016-2014</w:t>
      </w:r>
    </w:p>
    <w:p w14:paraId="17BBB560">
      <w:pPr>
        <w:rPr>
          <w:rFonts w:hint="default"/>
          <w:lang w:val="en-US" w:eastAsia="zh-CN"/>
        </w:rPr>
      </w:pPr>
      <w:r>
        <w:rPr>
          <w:rFonts w:hint="default"/>
          <w:lang w:val="en-US" w:eastAsia="zh-CN"/>
        </w:rPr>
        <w:t>《消防安全标志第1部分：标志》</w:t>
      </w:r>
      <w:r>
        <w:rPr>
          <w:rFonts w:hint="eastAsia"/>
          <w:lang w:val="en-US" w:eastAsia="zh-CN"/>
        </w:rPr>
        <w:t xml:space="preserve">                   </w:t>
      </w:r>
      <w:r>
        <w:rPr>
          <w:rFonts w:hint="default"/>
          <w:lang w:val="en-US" w:eastAsia="zh-CN"/>
        </w:rPr>
        <w:t>GB13495.1-2015</w:t>
      </w:r>
    </w:p>
    <w:p w14:paraId="53F6830B">
      <w:pPr>
        <w:rPr>
          <w:rFonts w:hint="default"/>
          <w:lang w:val="en-US" w:eastAsia="zh-CN"/>
        </w:rPr>
      </w:pPr>
      <w:r>
        <w:rPr>
          <w:rFonts w:hint="default"/>
          <w:lang w:val="en-US" w:eastAsia="zh-CN"/>
        </w:rPr>
        <w:t>《危险化学品重大危险源辨识》</w:t>
      </w:r>
      <w:r>
        <w:rPr>
          <w:rFonts w:hint="eastAsia"/>
          <w:lang w:val="en-US" w:eastAsia="zh-CN"/>
        </w:rPr>
        <w:t xml:space="preserve">                     </w:t>
      </w:r>
      <w:r>
        <w:rPr>
          <w:rFonts w:hint="default"/>
          <w:lang w:val="en-US" w:eastAsia="zh-CN"/>
        </w:rPr>
        <w:t>GB18218-2018</w:t>
      </w:r>
    </w:p>
    <w:p w14:paraId="4DFB9FE0">
      <w:pPr>
        <w:rPr>
          <w:rFonts w:hint="default"/>
          <w:lang w:val="en-US" w:eastAsia="zh-CN"/>
        </w:rPr>
      </w:pPr>
      <w:r>
        <w:rPr>
          <w:rFonts w:hint="default"/>
          <w:lang w:val="en-US" w:eastAsia="zh-CN"/>
        </w:rPr>
        <w:t>《消防应急照明和疏散指示系统技术标准》</w:t>
      </w:r>
      <w:r>
        <w:rPr>
          <w:rFonts w:hint="eastAsia"/>
          <w:lang w:val="en-US" w:eastAsia="zh-CN"/>
        </w:rPr>
        <w:t xml:space="preserve">           </w:t>
      </w:r>
      <w:r>
        <w:rPr>
          <w:rFonts w:hint="default"/>
          <w:lang w:val="en-US" w:eastAsia="zh-CN"/>
        </w:rPr>
        <w:t>GB51309-2018</w:t>
      </w:r>
    </w:p>
    <w:p w14:paraId="6FE0666E">
      <w:pPr>
        <w:ind w:left="280" w:leftChars="100" w:firstLine="280" w:firstLineChars="100"/>
        <w:rPr>
          <w:rFonts w:hint="default"/>
          <w:lang w:val="en-US" w:eastAsia="zh-CN"/>
        </w:rPr>
      </w:pPr>
      <w:r>
        <w:rPr>
          <w:rFonts w:hint="default"/>
          <w:lang w:val="en-US" w:eastAsia="zh-CN"/>
        </w:rPr>
        <w:t>《车用柴油》</w:t>
      </w:r>
      <w:r>
        <w:rPr>
          <w:rFonts w:hint="eastAsia"/>
          <w:lang w:val="en-US" w:eastAsia="zh-CN"/>
        </w:rPr>
        <w:t xml:space="preserve">                            </w:t>
      </w:r>
      <w:r>
        <w:rPr>
          <w:rFonts w:hint="default"/>
          <w:lang w:val="en-US" w:eastAsia="zh-CN"/>
        </w:rPr>
        <w:t>GB19147-2016/XG1-2018</w:t>
      </w:r>
    </w:p>
    <w:p w14:paraId="7902CF8D">
      <w:pPr>
        <w:rPr>
          <w:rFonts w:hint="default"/>
          <w:lang w:val="en-US" w:eastAsia="zh-CN"/>
        </w:rPr>
      </w:pPr>
      <w:r>
        <w:rPr>
          <w:rFonts w:hint="default"/>
          <w:lang w:val="en-US" w:eastAsia="zh-CN"/>
        </w:rPr>
        <w:t>《危险化学品经营企业安全技术基本要求》</w:t>
      </w:r>
      <w:r>
        <w:rPr>
          <w:rFonts w:hint="eastAsia"/>
          <w:lang w:val="en-US" w:eastAsia="zh-CN"/>
        </w:rPr>
        <w:t xml:space="preserve">           </w:t>
      </w:r>
      <w:r>
        <w:rPr>
          <w:rFonts w:hint="default"/>
          <w:lang w:val="en-US" w:eastAsia="zh-CN"/>
        </w:rPr>
        <w:t>GB18265-2019</w:t>
      </w:r>
    </w:p>
    <w:p w14:paraId="4401E0F0">
      <w:pPr>
        <w:rPr>
          <w:rFonts w:hint="default"/>
          <w:lang w:val="en-US" w:eastAsia="zh-CN"/>
        </w:rPr>
      </w:pPr>
      <w:r>
        <w:rPr>
          <w:rFonts w:hint="default"/>
          <w:lang w:val="en-US" w:eastAsia="zh-CN"/>
        </w:rPr>
        <w:t>《个体防护装备配备规范 第1部分：总则》</w:t>
      </w:r>
      <w:r>
        <w:rPr>
          <w:rFonts w:hint="eastAsia"/>
          <w:lang w:val="en-US" w:eastAsia="zh-CN"/>
        </w:rPr>
        <w:t xml:space="preserve">          </w:t>
      </w:r>
      <w:r>
        <w:rPr>
          <w:rFonts w:hint="default"/>
          <w:lang w:val="en-US" w:eastAsia="zh-CN"/>
        </w:rPr>
        <w:t>GB39800.1-2020</w:t>
      </w:r>
    </w:p>
    <w:p w14:paraId="4C8CBF89">
      <w:pPr>
        <w:ind w:left="560" w:leftChars="200" w:firstLine="0" w:firstLineChars="0"/>
        <w:rPr>
          <w:rFonts w:hint="default"/>
          <w:lang w:val="en-US" w:eastAsia="zh-CN"/>
        </w:rPr>
      </w:pPr>
      <w:r>
        <w:rPr>
          <w:rFonts w:hint="default"/>
          <w:lang w:val="en-US" w:eastAsia="zh-CN"/>
        </w:rPr>
        <w:t xml:space="preserve">《加油站大气污染物排放标准》 </w:t>
      </w:r>
      <w:r>
        <w:rPr>
          <w:rFonts w:hint="eastAsia"/>
          <w:lang w:val="en-US" w:eastAsia="zh-CN"/>
        </w:rPr>
        <w:t xml:space="preserve">                    </w:t>
      </w:r>
      <w:r>
        <w:rPr>
          <w:rFonts w:hint="default"/>
          <w:lang w:val="en-US" w:eastAsia="zh-CN"/>
        </w:rPr>
        <w:t>GB20952-2020</w:t>
      </w:r>
    </w:p>
    <w:p w14:paraId="32FCC402">
      <w:pPr>
        <w:rPr>
          <w:rFonts w:hint="default"/>
          <w:color w:val="auto"/>
          <w:lang w:val="en-US" w:eastAsia="zh-CN"/>
        </w:rPr>
      </w:pPr>
      <w:r>
        <w:rPr>
          <w:rFonts w:hint="default"/>
          <w:lang w:val="en-US" w:eastAsia="zh-CN"/>
        </w:rPr>
        <w:t>《汽车加</w:t>
      </w:r>
      <w:r>
        <w:rPr>
          <w:rFonts w:hint="default"/>
          <w:color w:val="auto"/>
          <w:lang w:val="en-US" w:eastAsia="zh-CN"/>
        </w:rPr>
        <w:t>油加气加氢站技术标准》</w:t>
      </w:r>
      <w:r>
        <w:rPr>
          <w:rFonts w:hint="eastAsia"/>
          <w:color w:val="auto"/>
          <w:lang w:val="en-US" w:eastAsia="zh-CN"/>
        </w:rPr>
        <w:t xml:space="preserve">                   </w:t>
      </w:r>
      <w:r>
        <w:rPr>
          <w:rFonts w:hint="default"/>
          <w:color w:val="auto"/>
          <w:lang w:val="en-US" w:eastAsia="zh-CN"/>
        </w:rPr>
        <w:t>GB50156-2021</w:t>
      </w:r>
    </w:p>
    <w:p w14:paraId="318E4A29">
      <w:pPr>
        <w:rPr>
          <w:rFonts w:hint="default"/>
          <w:color w:val="auto"/>
          <w:lang w:val="en-US" w:eastAsia="zh-CN"/>
        </w:rPr>
      </w:pPr>
      <w:r>
        <w:rPr>
          <w:rFonts w:hint="default"/>
          <w:color w:val="auto"/>
          <w:lang w:val="en-US" w:eastAsia="zh-CN"/>
        </w:rPr>
        <w:t>《建筑防火通用规范》</w:t>
      </w:r>
      <w:r>
        <w:rPr>
          <w:rFonts w:hint="eastAsia"/>
          <w:color w:val="auto"/>
          <w:lang w:val="en-US" w:eastAsia="zh-CN"/>
        </w:rPr>
        <w:t xml:space="preserve">                             </w:t>
      </w:r>
      <w:r>
        <w:rPr>
          <w:rFonts w:hint="default"/>
          <w:color w:val="auto"/>
          <w:lang w:val="en-US" w:eastAsia="zh-CN"/>
        </w:rPr>
        <w:t>GB55037-2022</w:t>
      </w:r>
    </w:p>
    <w:p w14:paraId="5514B8D9">
      <w:pPr>
        <w:ind w:left="560" w:leftChars="200" w:firstLine="0" w:firstLineChars="0"/>
        <w:rPr>
          <w:rFonts w:hint="default"/>
          <w:color w:val="auto"/>
          <w:lang w:val="en-US" w:eastAsia="zh-CN"/>
        </w:rPr>
      </w:pPr>
      <w:r>
        <w:rPr>
          <w:rFonts w:hint="default"/>
          <w:color w:val="auto"/>
          <w:lang w:val="en-US" w:eastAsia="zh-CN"/>
        </w:rPr>
        <w:t>《危险化学品单位应急救援物资配备要求》</w:t>
      </w:r>
      <w:r>
        <w:rPr>
          <w:rFonts w:hint="eastAsia"/>
          <w:color w:val="auto"/>
          <w:lang w:val="en-US" w:eastAsia="zh-CN"/>
        </w:rPr>
        <w:t xml:space="preserve">           </w:t>
      </w:r>
      <w:r>
        <w:rPr>
          <w:rFonts w:hint="default"/>
          <w:color w:val="auto"/>
          <w:lang w:val="en-US" w:eastAsia="zh-CN"/>
        </w:rPr>
        <w:t>GB30077-2023</w:t>
      </w:r>
    </w:p>
    <w:p w14:paraId="2ED43F8C">
      <w:pPr>
        <w:ind w:left="560" w:leftChars="200" w:firstLine="0" w:firstLineChars="0"/>
        <w:rPr>
          <w:rFonts w:hint="default"/>
          <w:color w:val="auto"/>
          <w:lang w:val="en-US" w:eastAsia="zh-CN"/>
        </w:rPr>
      </w:pPr>
      <w:r>
        <w:rPr>
          <w:rFonts w:hint="default"/>
          <w:color w:val="auto"/>
          <w:lang w:val="en-US" w:eastAsia="zh-CN"/>
        </w:rPr>
        <w:t>《消防应急照明和疏散指示系统》</w:t>
      </w:r>
      <w:r>
        <w:rPr>
          <w:rFonts w:hint="eastAsia"/>
          <w:color w:val="auto"/>
          <w:lang w:val="en-US" w:eastAsia="zh-CN"/>
        </w:rPr>
        <w:t xml:space="preserve">                   </w:t>
      </w:r>
      <w:r>
        <w:rPr>
          <w:rFonts w:hint="default"/>
          <w:color w:val="auto"/>
          <w:lang w:val="en-US" w:eastAsia="zh-CN"/>
        </w:rPr>
        <w:t>GB17945-2024</w:t>
      </w:r>
    </w:p>
    <w:p w14:paraId="6543C3A6">
      <w:pPr>
        <w:rPr>
          <w:rFonts w:hint="default"/>
          <w:color w:val="auto"/>
          <w:lang w:val="en-US" w:eastAsia="zh-CN"/>
        </w:rPr>
      </w:pPr>
      <w:r>
        <w:rPr>
          <w:rFonts w:hint="default"/>
          <w:color w:val="auto"/>
          <w:lang w:val="en-US" w:eastAsia="zh-CN"/>
        </w:rPr>
        <w:t>《建筑抗震设计标准</w:t>
      </w:r>
      <w:r>
        <w:rPr>
          <w:rFonts w:hint="eastAsia"/>
          <w:color w:val="auto"/>
          <w:lang w:val="en-US" w:eastAsia="zh-CN"/>
        </w:rPr>
        <w:t>（</w:t>
      </w:r>
      <w:r>
        <w:rPr>
          <w:rFonts w:hint="default"/>
          <w:color w:val="auto"/>
          <w:lang w:val="en-US" w:eastAsia="zh-CN"/>
        </w:rPr>
        <w:t>2024年版）》</w:t>
      </w:r>
      <w:r>
        <w:rPr>
          <w:rFonts w:hint="eastAsia"/>
          <w:color w:val="auto"/>
          <w:lang w:val="en-US" w:eastAsia="zh-CN"/>
        </w:rPr>
        <w:t xml:space="preserve">                 </w:t>
      </w:r>
      <w:r>
        <w:rPr>
          <w:rFonts w:hint="default"/>
          <w:color w:val="auto"/>
          <w:lang w:val="en-US" w:eastAsia="zh-CN"/>
        </w:rPr>
        <w:t>GB/T50011-2010</w:t>
      </w:r>
    </w:p>
    <w:p w14:paraId="5C89230D">
      <w:pPr>
        <w:rPr>
          <w:rFonts w:hint="default"/>
          <w:lang w:val="en-US" w:eastAsia="zh-CN"/>
        </w:rPr>
      </w:pPr>
      <w:r>
        <w:rPr>
          <w:rFonts w:hint="default"/>
          <w:color w:val="auto"/>
          <w:lang w:val="en-US" w:eastAsia="zh-CN"/>
        </w:rPr>
        <w:t>《油气回收装置通用技术条件》</w:t>
      </w:r>
      <w:r>
        <w:rPr>
          <w:rFonts w:hint="eastAsia"/>
          <w:color w:val="auto"/>
          <w:lang w:val="en-US" w:eastAsia="zh-CN"/>
        </w:rPr>
        <w:t xml:space="preserve">                   </w:t>
      </w:r>
      <w:r>
        <w:rPr>
          <w:rFonts w:hint="default"/>
          <w:color w:val="auto"/>
          <w:lang w:val="en-US" w:eastAsia="zh-CN"/>
        </w:rPr>
        <w:t>GB/T35579-20</w:t>
      </w:r>
      <w:r>
        <w:rPr>
          <w:rFonts w:hint="default"/>
          <w:lang w:val="en-US" w:eastAsia="zh-CN"/>
        </w:rPr>
        <w:t>17</w:t>
      </w:r>
    </w:p>
    <w:p w14:paraId="1121E100">
      <w:pPr>
        <w:ind w:left="280" w:leftChars="100" w:firstLine="280" w:firstLineChars="100"/>
        <w:rPr>
          <w:rFonts w:hint="default"/>
          <w:lang w:val="en-US" w:eastAsia="zh-CN"/>
        </w:rPr>
      </w:pPr>
      <w:r>
        <w:rPr>
          <w:rFonts w:hint="default"/>
          <w:lang w:val="en-US" w:eastAsia="zh-CN"/>
        </w:rPr>
        <w:t>《油气回收系统防爆技术要求》</w:t>
      </w:r>
      <w:r>
        <w:rPr>
          <w:rFonts w:hint="eastAsia"/>
          <w:lang w:val="en-US" w:eastAsia="zh-CN"/>
        </w:rPr>
        <w:t xml:space="preserve">                   </w:t>
      </w:r>
      <w:r>
        <w:rPr>
          <w:rFonts w:hint="default"/>
          <w:lang w:val="en-US" w:eastAsia="zh-CN"/>
        </w:rPr>
        <w:t>GB/T34661-2017</w:t>
      </w:r>
    </w:p>
    <w:p w14:paraId="04E31561">
      <w:pPr>
        <w:jc w:val="right"/>
        <w:rPr>
          <w:rFonts w:hint="default"/>
          <w:lang w:val="en-US" w:eastAsia="zh-CN"/>
        </w:rPr>
      </w:pPr>
      <w:r>
        <w:rPr>
          <w:rFonts w:hint="default"/>
          <w:lang w:val="en-US" w:eastAsia="zh-CN"/>
        </w:rPr>
        <w:t>《燃油加油站防爆安全技术 第1部分：燃油加油机防爆安全技术要求》</w:t>
      </w:r>
      <w:r>
        <w:rPr>
          <w:rFonts w:hint="default"/>
          <w:lang w:val="en-US" w:eastAsia="zh-CN"/>
        </w:rPr>
        <w:tab/>
      </w:r>
      <w:r>
        <w:rPr>
          <w:rFonts w:hint="default"/>
          <w:lang w:val="en-US" w:eastAsia="zh-CN"/>
        </w:rPr>
        <w:t>GB/T22380.1-2017</w:t>
      </w:r>
    </w:p>
    <w:p w14:paraId="44E95F29">
      <w:pPr>
        <w:rPr>
          <w:rFonts w:hint="default"/>
          <w:lang w:val="en-US" w:eastAsia="zh-CN"/>
        </w:rPr>
      </w:pPr>
      <w:r>
        <w:rPr>
          <w:rFonts w:hint="default"/>
          <w:lang w:val="en-US" w:eastAsia="zh-CN"/>
        </w:rPr>
        <w:t>《钢质管道外腐蚀控制规范》</w:t>
      </w:r>
      <w:r>
        <w:rPr>
          <w:rFonts w:hint="eastAsia"/>
          <w:lang w:val="en-US" w:eastAsia="zh-CN"/>
        </w:rPr>
        <w:t xml:space="preserve">                     </w:t>
      </w:r>
      <w:r>
        <w:rPr>
          <w:rFonts w:hint="default"/>
          <w:lang w:val="en-US" w:eastAsia="zh-CN"/>
        </w:rPr>
        <w:t>GB/T21447-2018</w:t>
      </w:r>
    </w:p>
    <w:p w14:paraId="61C573ED">
      <w:pPr>
        <w:ind w:left="280" w:leftChars="100" w:firstLine="280" w:firstLineChars="100"/>
        <w:rPr>
          <w:rFonts w:hint="default"/>
          <w:lang w:val="en-US" w:eastAsia="zh-CN"/>
        </w:rPr>
      </w:pPr>
      <w:r>
        <w:rPr>
          <w:rFonts w:hint="default"/>
          <w:lang w:val="en-US" w:eastAsia="zh-CN"/>
        </w:rPr>
        <w:t>《石油化工可燃气体和有毒气体检测报警设计标准》</w:t>
      </w:r>
      <w:r>
        <w:rPr>
          <w:rFonts w:hint="eastAsia"/>
          <w:lang w:val="en-US" w:eastAsia="zh-CN"/>
        </w:rPr>
        <w:t xml:space="preserve"> </w:t>
      </w:r>
      <w:r>
        <w:rPr>
          <w:rFonts w:hint="default"/>
          <w:lang w:val="en-US" w:eastAsia="zh-CN"/>
        </w:rPr>
        <w:t>GB/T50493-2019</w:t>
      </w:r>
    </w:p>
    <w:p w14:paraId="232150BF">
      <w:pPr>
        <w:ind w:left="280" w:leftChars="100" w:firstLine="280" w:firstLineChars="100"/>
        <w:rPr>
          <w:rFonts w:hint="default"/>
          <w:lang w:val="en-US" w:eastAsia="zh-CN"/>
        </w:rPr>
      </w:pPr>
      <w:r>
        <w:rPr>
          <w:rFonts w:hint="default"/>
          <w:lang w:val="en-US" w:eastAsia="zh-CN"/>
        </w:rPr>
        <w:t>《石油化工建设工程施工安全技术标准》</w:t>
      </w:r>
      <w:r>
        <w:rPr>
          <w:rFonts w:hint="eastAsia"/>
          <w:lang w:val="en-US" w:eastAsia="zh-CN"/>
        </w:rPr>
        <w:t xml:space="preserve">           </w:t>
      </w:r>
      <w:r>
        <w:rPr>
          <w:rFonts w:hint="default"/>
          <w:lang w:val="en-US" w:eastAsia="zh-CN"/>
        </w:rPr>
        <w:t>GB/T50484-2019</w:t>
      </w:r>
    </w:p>
    <w:p w14:paraId="6B404FCF">
      <w:pPr>
        <w:rPr>
          <w:rFonts w:hint="default"/>
          <w:lang w:val="en-US" w:eastAsia="zh-CN"/>
        </w:rPr>
      </w:pPr>
      <w:r>
        <w:rPr>
          <w:rFonts w:hint="default"/>
          <w:lang w:val="en-US" w:eastAsia="zh-CN"/>
        </w:rPr>
        <w:t>《燃油加油站防爆安全技术 第2部分：加油机用安全拉断阀结构和性能的安全要求》</w:t>
      </w:r>
      <w:r>
        <w:rPr>
          <w:rFonts w:hint="eastAsia"/>
          <w:lang w:val="en-US" w:eastAsia="zh-CN"/>
        </w:rPr>
        <w:t xml:space="preserve">                                    </w:t>
      </w:r>
      <w:r>
        <w:rPr>
          <w:rFonts w:hint="default"/>
          <w:lang w:val="en-US" w:eastAsia="zh-CN"/>
        </w:rPr>
        <w:t>GB/T22380.2-2019</w:t>
      </w:r>
    </w:p>
    <w:p w14:paraId="1342748C">
      <w:pPr>
        <w:jc w:val="right"/>
        <w:rPr>
          <w:rFonts w:hint="default"/>
          <w:lang w:val="en-US" w:eastAsia="zh-CN"/>
        </w:rPr>
      </w:pPr>
      <w:r>
        <w:rPr>
          <w:rFonts w:hint="default"/>
          <w:lang w:val="en-US" w:eastAsia="zh-CN"/>
        </w:rPr>
        <w:t>《燃油加油站防爆安全技术 第3部分：剪切阀结构和性能的安全要求》</w:t>
      </w:r>
      <w:r>
        <w:rPr>
          <w:rFonts w:hint="default"/>
          <w:lang w:val="en-US" w:eastAsia="zh-CN"/>
        </w:rPr>
        <w:tab/>
      </w:r>
      <w:r>
        <w:rPr>
          <w:rFonts w:hint="default"/>
          <w:lang w:val="en-US" w:eastAsia="zh-CN"/>
        </w:rPr>
        <w:t>GB/T22380.3-2019</w:t>
      </w:r>
    </w:p>
    <w:p w14:paraId="5E83F86C">
      <w:pPr>
        <w:bidi w:val="0"/>
        <w:rPr>
          <w:rFonts w:hint="default"/>
          <w:lang w:val="en-US" w:eastAsia="zh-CN"/>
        </w:rPr>
      </w:pPr>
      <w:r>
        <w:rPr>
          <w:rFonts w:hint="default"/>
          <w:lang w:val="en-US" w:eastAsia="zh-CN"/>
        </w:rPr>
        <w:t>《生产经营单位生产安全事故应急预案编制导则》</w:t>
      </w:r>
      <w:r>
        <w:rPr>
          <w:rFonts w:hint="eastAsia"/>
          <w:lang w:val="en-US" w:eastAsia="zh-CN"/>
        </w:rPr>
        <w:t xml:space="preserve">   </w:t>
      </w:r>
      <w:r>
        <w:rPr>
          <w:rFonts w:hint="default"/>
          <w:lang w:val="en-US" w:eastAsia="zh-CN"/>
        </w:rPr>
        <w:t>GB/T29639-2020</w:t>
      </w:r>
    </w:p>
    <w:p w14:paraId="3CACEEB0">
      <w:pPr>
        <w:rPr>
          <w:rFonts w:hint="default"/>
          <w:lang w:val="en-US" w:eastAsia="zh-CN"/>
        </w:rPr>
      </w:pPr>
      <w:r>
        <w:rPr>
          <w:rFonts w:hint="default"/>
          <w:lang w:val="en-US" w:eastAsia="zh-CN"/>
        </w:rPr>
        <w:t>《油气回收处理设施技术标准》</w:t>
      </w:r>
      <w:r>
        <w:rPr>
          <w:rFonts w:hint="eastAsia"/>
          <w:lang w:val="en-US" w:eastAsia="zh-CN"/>
        </w:rPr>
        <w:t xml:space="preserve">                   </w:t>
      </w:r>
      <w:r>
        <w:rPr>
          <w:rFonts w:hint="default"/>
          <w:lang w:val="en-US" w:eastAsia="zh-CN"/>
        </w:rPr>
        <w:t>GB/T50759-2022</w:t>
      </w:r>
    </w:p>
    <w:p w14:paraId="7A2A35F4">
      <w:pPr>
        <w:rPr>
          <w:rFonts w:hint="default"/>
          <w:lang w:val="en-US" w:eastAsia="zh-CN"/>
        </w:rPr>
      </w:pPr>
      <w:r>
        <w:rPr>
          <w:rFonts w:hint="default"/>
          <w:lang w:val="en-US" w:eastAsia="zh-CN"/>
        </w:rPr>
        <w:t>《生产过程危险和有害因素分类与代码》</w:t>
      </w:r>
      <w:r>
        <w:rPr>
          <w:rFonts w:hint="eastAsia"/>
          <w:lang w:val="en-US" w:eastAsia="zh-CN"/>
        </w:rPr>
        <w:t xml:space="preserve">           </w:t>
      </w:r>
      <w:r>
        <w:rPr>
          <w:rFonts w:hint="default"/>
          <w:lang w:val="en-US" w:eastAsia="zh-CN"/>
        </w:rPr>
        <w:t>GB/T13861-2022</w:t>
      </w:r>
    </w:p>
    <w:p w14:paraId="5C82DAAB">
      <w:pPr>
        <w:rPr>
          <w:rFonts w:hint="default"/>
          <w:lang w:val="en-US" w:eastAsia="zh-CN"/>
        </w:rPr>
      </w:pPr>
      <w:r>
        <w:rPr>
          <w:rFonts w:hint="default"/>
          <w:lang w:val="en-US" w:eastAsia="zh-CN"/>
        </w:rPr>
        <w:t>《化工设备安全管理规范》</w:t>
      </w:r>
      <w:r>
        <w:rPr>
          <w:rFonts w:hint="eastAsia"/>
          <w:lang w:val="en-US" w:eastAsia="zh-CN"/>
        </w:rPr>
        <w:t xml:space="preserve">                       </w:t>
      </w:r>
      <w:r>
        <w:rPr>
          <w:rFonts w:hint="default"/>
          <w:lang w:val="en-US" w:eastAsia="zh-CN"/>
        </w:rPr>
        <w:t>GB/T44958-2024</w:t>
      </w:r>
    </w:p>
    <w:p w14:paraId="55B55A6C">
      <w:pPr>
        <w:rPr>
          <w:rFonts w:hint="default"/>
          <w:lang w:val="en-US" w:eastAsia="zh-CN"/>
        </w:rPr>
      </w:pPr>
      <w:r>
        <w:rPr>
          <w:rFonts w:hint="default"/>
          <w:lang w:val="en-US" w:eastAsia="zh-CN"/>
        </w:rPr>
        <w:t>《工业企业设计卫生标准》</w:t>
      </w:r>
      <w:r>
        <w:rPr>
          <w:rFonts w:hint="eastAsia"/>
          <w:lang w:val="en-US" w:eastAsia="zh-CN"/>
        </w:rPr>
        <w:t xml:space="preserve">                            </w:t>
      </w:r>
      <w:r>
        <w:rPr>
          <w:rFonts w:hint="default"/>
          <w:lang w:val="en-US" w:eastAsia="zh-CN"/>
        </w:rPr>
        <w:t>GBZ1-2010</w:t>
      </w:r>
    </w:p>
    <w:p w14:paraId="2B2BE60C">
      <w:pPr>
        <w:rPr>
          <w:rFonts w:hint="default"/>
          <w:lang w:val="en-US" w:eastAsia="zh-CN"/>
        </w:rPr>
      </w:pPr>
      <w:r>
        <w:rPr>
          <w:rFonts w:hint="default"/>
          <w:lang w:val="en-US" w:eastAsia="zh-CN"/>
        </w:rPr>
        <w:t>《危险场所电气防爆安全规范》</w:t>
      </w:r>
      <w:r>
        <w:rPr>
          <w:rFonts w:hint="eastAsia"/>
          <w:lang w:val="en-US" w:eastAsia="zh-CN"/>
        </w:rPr>
        <w:t xml:space="preserve">                      </w:t>
      </w:r>
      <w:r>
        <w:rPr>
          <w:rFonts w:hint="default"/>
          <w:lang w:val="en-US" w:eastAsia="zh-CN"/>
        </w:rPr>
        <w:t>AQ3009-2007</w:t>
      </w:r>
    </w:p>
    <w:p w14:paraId="7D935D7A">
      <w:pPr>
        <w:rPr>
          <w:rFonts w:hint="default"/>
          <w:lang w:val="en-US" w:eastAsia="zh-CN"/>
        </w:rPr>
      </w:pPr>
      <w:r>
        <w:rPr>
          <w:rFonts w:hint="default"/>
          <w:lang w:val="en-US" w:eastAsia="zh-CN"/>
        </w:rPr>
        <w:t>《安全评价通则》</w:t>
      </w:r>
      <w:r>
        <w:rPr>
          <w:rFonts w:hint="eastAsia"/>
          <w:lang w:val="en-US" w:eastAsia="zh-CN"/>
        </w:rPr>
        <w:t xml:space="preserve">                                  </w:t>
      </w:r>
      <w:r>
        <w:rPr>
          <w:rFonts w:hint="default"/>
          <w:lang w:val="en-US" w:eastAsia="zh-CN"/>
        </w:rPr>
        <w:t>AQ8001-2007</w:t>
      </w:r>
    </w:p>
    <w:p w14:paraId="61216EC3">
      <w:pPr>
        <w:ind w:left="280" w:leftChars="100" w:firstLine="280" w:firstLineChars="100"/>
        <w:rPr>
          <w:rFonts w:hint="default"/>
          <w:lang w:val="en-US" w:eastAsia="zh-CN"/>
        </w:rPr>
      </w:pPr>
      <w:r>
        <w:rPr>
          <w:rFonts w:hint="default"/>
          <w:lang w:val="en-US" w:eastAsia="zh-CN"/>
        </w:rPr>
        <w:t>《安全验收评价导则》</w:t>
      </w:r>
      <w:r>
        <w:rPr>
          <w:rFonts w:hint="eastAsia"/>
          <w:lang w:val="en-US" w:eastAsia="zh-CN"/>
        </w:rPr>
        <w:t xml:space="preserve">                              </w:t>
      </w:r>
      <w:r>
        <w:rPr>
          <w:rFonts w:hint="default"/>
          <w:lang w:val="en-US" w:eastAsia="zh-CN"/>
        </w:rPr>
        <w:t>AQ8003-2007</w:t>
      </w:r>
    </w:p>
    <w:p w14:paraId="6ECE8355">
      <w:pPr>
        <w:rPr>
          <w:rFonts w:hint="default"/>
          <w:lang w:val="en-US" w:eastAsia="zh-CN"/>
        </w:rPr>
      </w:pPr>
      <w:r>
        <w:rPr>
          <w:rFonts w:hint="default"/>
          <w:lang w:val="en-US" w:eastAsia="zh-CN"/>
        </w:rPr>
        <w:t>《危险化学品储罐区作业安全通则》</w:t>
      </w:r>
      <w:r>
        <w:rPr>
          <w:rFonts w:hint="eastAsia"/>
          <w:lang w:val="en-US" w:eastAsia="zh-CN"/>
        </w:rPr>
        <w:t xml:space="preserve">                  </w:t>
      </w:r>
      <w:r>
        <w:rPr>
          <w:rFonts w:hint="default"/>
          <w:lang w:val="en-US" w:eastAsia="zh-CN"/>
        </w:rPr>
        <w:t>AQ3018-2008</w:t>
      </w:r>
    </w:p>
    <w:p w14:paraId="381B877E">
      <w:pPr>
        <w:rPr>
          <w:rFonts w:hint="default"/>
          <w:lang w:val="en-US" w:eastAsia="zh-CN"/>
        </w:rPr>
      </w:pPr>
      <w:r>
        <w:rPr>
          <w:rFonts w:hint="default"/>
          <w:lang w:val="en-US" w:eastAsia="zh-CN"/>
        </w:rPr>
        <w:t>《加油站作业安全规范》</w:t>
      </w:r>
      <w:r>
        <w:rPr>
          <w:rFonts w:hint="eastAsia"/>
          <w:lang w:val="en-US" w:eastAsia="zh-CN"/>
        </w:rPr>
        <w:t xml:space="preserve">                            </w:t>
      </w:r>
      <w:r>
        <w:rPr>
          <w:rFonts w:hint="default"/>
          <w:lang w:val="en-US" w:eastAsia="zh-CN"/>
        </w:rPr>
        <w:t>AQ3010-2022</w:t>
      </w:r>
    </w:p>
    <w:p w14:paraId="6485E1B2">
      <w:pPr>
        <w:rPr>
          <w:rFonts w:hint="default"/>
          <w:lang w:val="en-US" w:eastAsia="zh-CN"/>
        </w:rPr>
      </w:pPr>
      <w:r>
        <w:rPr>
          <w:rFonts w:hint="default"/>
          <w:lang w:val="en-US" w:eastAsia="zh-CN"/>
        </w:rPr>
        <w:t>《生产安全事故应急演练基本规范》</w:t>
      </w:r>
      <w:r>
        <w:rPr>
          <w:rFonts w:hint="eastAsia"/>
          <w:lang w:val="en-US" w:eastAsia="zh-CN"/>
        </w:rPr>
        <w:t xml:space="preserve">     </w:t>
      </w:r>
      <w:r>
        <w:rPr>
          <w:rFonts w:hint="eastAsia"/>
          <w:color w:val="auto"/>
          <w:lang w:val="en-US" w:eastAsia="zh-CN"/>
        </w:rPr>
        <w:t xml:space="preserve">           YJ</w:t>
      </w:r>
      <w:r>
        <w:rPr>
          <w:rFonts w:hint="default"/>
          <w:color w:val="auto"/>
          <w:lang w:val="en-US" w:eastAsia="zh-CN"/>
        </w:rPr>
        <w:t>/T9007</w:t>
      </w:r>
      <w:r>
        <w:rPr>
          <w:rFonts w:hint="default"/>
          <w:lang w:val="en-US" w:eastAsia="zh-CN"/>
        </w:rPr>
        <w:t>-2019</w:t>
      </w:r>
    </w:p>
    <w:p w14:paraId="17DDE3B9">
      <w:pPr>
        <w:rPr>
          <w:rFonts w:hint="default"/>
          <w:lang w:val="en-US" w:eastAsia="zh-CN"/>
        </w:rPr>
      </w:pPr>
      <w:r>
        <w:rPr>
          <w:rFonts w:hint="default"/>
          <w:lang w:val="en-US" w:eastAsia="zh-CN"/>
        </w:rPr>
        <w:t>《加油（气）站油（气）储存罐体阻隔防爆技术要求》</w:t>
      </w:r>
      <w:r>
        <w:rPr>
          <w:rFonts w:hint="eastAsia"/>
          <w:lang w:val="en-US" w:eastAsia="zh-CN"/>
        </w:rPr>
        <w:t xml:space="preserve">    </w:t>
      </w:r>
      <w:r>
        <w:rPr>
          <w:rFonts w:hint="default"/>
          <w:lang w:val="en-US" w:eastAsia="zh-CN"/>
        </w:rPr>
        <w:t>AQ/T3001-2021</w:t>
      </w:r>
    </w:p>
    <w:p w14:paraId="2F232F3E">
      <w:pPr>
        <w:rPr>
          <w:rFonts w:hint="default"/>
          <w:lang w:val="en-US" w:eastAsia="zh-CN"/>
        </w:rPr>
      </w:pPr>
      <w:r>
        <w:rPr>
          <w:rFonts w:hint="default"/>
          <w:lang w:val="en-US" w:eastAsia="zh-CN"/>
        </w:rPr>
        <w:t>《阻隔防爆撬装式加油（气）装置技术要求》</w:t>
      </w:r>
      <w:r>
        <w:rPr>
          <w:rFonts w:hint="eastAsia"/>
          <w:lang w:val="en-US" w:eastAsia="zh-CN"/>
        </w:rPr>
        <w:t xml:space="preserve">          </w:t>
      </w:r>
      <w:r>
        <w:rPr>
          <w:rFonts w:hint="default"/>
          <w:lang w:val="en-US" w:eastAsia="zh-CN"/>
        </w:rPr>
        <w:t>AQ/T3002-2021</w:t>
      </w:r>
    </w:p>
    <w:p w14:paraId="3B6C19FE">
      <w:pPr>
        <w:ind w:left="280" w:leftChars="100" w:firstLine="280" w:firstLineChars="100"/>
        <w:rPr>
          <w:rFonts w:hint="default"/>
          <w:lang w:val="en-US" w:eastAsia="zh-CN"/>
        </w:rPr>
      </w:pPr>
      <w:r>
        <w:rPr>
          <w:rFonts w:hint="default"/>
          <w:lang w:val="en-US" w:eastAsia="zh-CN"/>
        </w:rPr>
        <w:t>《石油化工设备和管道涂料防腐蚀设计标准》</w:t>
      </w:r>
      <w:r>
        <w:rPr>
          <w:rFonts w:hint="eastAsia"/>
          <w:lang w:val="en-US" w:eastAsia="zh-CN"/>
        </w:rPr>
        <w:t xml:space="preserve">        </w:t>
      </w:r>
      <w:r>
        <w:rPr>
          <w:rFonts w:hint="default"/>
          <w:lang w:val="en-US" w:eastAsia="zh-CN"/>
        </w:rPr>
        <w:t>SH/T3022-2019</w:t>
      </w:r>
    </w:p>
    <w:p w14:paraId="3558533C">
      <w:pPr>
        <w:bidi w:val="0"/>
        <w:rPr>
          <w:rFonts w:hint="default"/>
          <w:lang w:val="en-US" w:eastAsia="zh-CN"/>
        </w:rPr>
      </w:pPr>
      <w:r>
        <w:rPr>
          <w:rFonts w:hint="default"/>
          <w:lang w:val="en-US" w:eastAsia="zh-CN"/>
        </w:rPr>
        <w:t>《石油化工设备和管道涂料防腐蚀设计标准》行业标准第1号修改单</w:t>
      </w:r>
    </w:p>
    <w:p w14:paraId="10DA5E19">
      <w:pPr>
        <w:jc w:val="right"/>
        <w:rPr>
          <w:rFonts w:hint="default"/>
          <w:lang w:val="en-US" w:eastAsia="zh-CN"/>
        </w:rPr>
      </w:pPr>
      <w:r>
        <w:rPr>
          <w:rFonts w:hint="default"/>
          <w:lang w:val="en-US" w:eastAsia="zh-CN"/>
        </w:rPr>
        <w:t>SH/T3022-2019/XG1-2021</w:t>
      </w:r>
    </w:p>
    <w:p w14:paraId="0E13BF46">
      <w:pPr>
        <w:rPr>
          <w:rFonts w:hint="default"/>
          <w:lang w:val="en-US" w:eastAsia="zh-CN"/>
        </w:rPr>
      </w:pPr>
      <w:r>
        <w:rPr>
          <w:rFonts w:hint="default"/>
          <w:lang w:val="en-US" w:eastAsia="zh-CN"/>
        </w:rPr>
        <w:t>《撬装式汽车加油站技术标准》</w:t>
      </w:r>
      <w:r>
        <w:rPr>
          <w:rFonts w:hint="eastAsia"/>
          <w:lang w:val="en-US" w:eastAsia="zh-CN"/>
        </w:rPr>
        <w:t xml:space="preserve">                    </w:t>
      </w:r>
      <w:r>
        <w:rPr>
          <w:rFonts w:hint="default"/>
          <w:lang w:val="en-US" w:eastAsia="zh-CN"/>
        </w:rPr>
        <w:t>SH/T3134-2023</w:t>
      </w:r>
    </w:p>
    <w:p w14:paraId="4288DC4A">
      <w:pPr>
        <w:rPr>
          <w:rFonts w:hint="default"/>
          <w:lang w:val="en-US" w:eastAsia="zh-CN"/>
        </w:rPr>
      </w:pPr>
      <w:r>
        <w:rPr>
          <w:rFonts w:hint="default"/>
          <w:lang w:val="en-US" w:eastAsia="zh-CN"/>
        </w:rPr>
        <w:t>《阻隔防爆撬装式加油（气）装置防雷技术规范》</w:t>
      </w:r>
      <w:r>
        <w:rPr>
          <w:rFonts w:hint="eastAsia"/>
          <w:lang w:val="en-US" w:eastAsia="zh-CN"/>
        </w:rPr>
        <w:t xml:space="preserve">       </w:t>
      </w:r>
      <w:r>
        <w:rPr>
          <w:rFonts w:hint="default"/>
          <w:lang w:val="en-US" w:eastAsia="zh-CN"/>
        </w:rPr>
        <w:t>QX/T450-2018</w:t>
      </w:r>
    </w:p>
    <w:p w14:paraId="0DD2AC14">
      <w:pPr>
        <w:rPr>
          <w:rFonts w:hint="default"/>
          <w:lang w:val="en-US" w:eastAsia="zh-CN"/>
        </w:rPr>
      </w:pPr>
      <w:r>
        <w:rPr>
          <w:rFonts w:hint="default"/>
          <w:lang w:val="en-US" w:eastAsia="zh-CN"/>
        </w:rPr>
        <w:t>《汽车加油加气站消防安全管理》</w:t>
      </w:r>
      <w:r>
        <w:rPr>
          <w:rFonts w:hint="eastAsia"/>
          <w:lang w:val="en-US" w:eastAsia="zh-CN"/>
        </w:rPr>
        <w:t xml:space="preserve">                  </w:t>
      </w:r>
      <w:r>
        <w:rPr>
          <w:rFonts w:hint="default"/>
          <w:lang w:val="en-US" w:eastAsia="zh-CN"/>
        </w:rPr>
        <w:t>XF/T3004-2020</w:t>
      </w:r>
    </w:p>
    <w:p w14:paraId="78397B14">
      <w:pPr>
        <w:ind w:left="280" w:leftChars="100" w:firstLine="280" w:firstLineChars="100"/>
        <w:rPr>
          <w:rFonts w:hint="default"/>
          <w:lang w:val="en-US" w:eastAsia="zh-CN"/>
        </w:rPr>
      </w:pPr>
      <w:r>
        <w:rPr>
          <w:rFonts w:hint="default"/>
          <w:lang w:val="en-US" w:eastAsia="zh-CN"/>
        </w:rPr>
        <w:t>《汽车加油站防雷装置检测技术规范》</w:t>
      </w:r>
      <w:r>
        <w:rPr>
          <w:rFonts w:hint="eastAsia"/>
          <w:lang w:val="en-US" w:eastAsia="zh-CN"/>
        </w:rPr>
        <w:t xml:space="preserve">             </w:t>
      </w:r>
      <w:r>
        <w:rPr>
          <w:rFonts w:hint="default"/>
          <w:lang w:val="en-US" w:eastAsia="zh-CN"/>
        </w:rPr>
        <w:t>DB36/T720-2023</w:t>
      </w:r>
    </w:p>
    <w:p w14:paraId="1191BF00">
      <w:pPr>
        <w:pStyle w:val="3"/>
        <w:bidi w:val="0"/>
        <w:rPr>
          <w:rFonts w:hint="default"/>
          <w:lang w:val="en-US" w:eastAsia="zh-CN"/>
        </w:rPr>
      </w:pPr>
      <w:bookmarkStart w:id="14" w:name="_Toc28616"/>
      <w:r>
        <w:rPr>
          <w:rFonts w:hint="default"/>
          <w:lang w:val="en-US" w:eastAsia="zh-CN"/>
        </w:rPr>
        <w:t>1.4 评价程序</w:t>
      </w:r>
      <w:bookmarkEnd w:id="14"/>
    </w:p>
    <w:p w14:paraId="419963E4">
      <w:pPr>
        <w:rPr>
          <w:rFonts w:hint="default"/>
          <w:lang w:val="en-US" w:eastAsia="zh-CN"/>
        </w:rPr>
      </w:pPr>
      <w:r>
        <w:rPr>
          <w:rFonts w:hint="default"/>
          <w:lang w:val="en-US" w:eastAsia="zh-CN"/>
        </w:rPr>
        <w:t>根据《安全验收评价导则》</w:t>
      </w:r>
      <w:r>
        <w:rPr>
          <w:rFonts w:hint="eastAsia"/>
          <w:lang w:val="en-US" w:eastAsia="zh-CN"/>
        </w:rPr>
        <w:t>（</w:t>
      </w:r>
      <w:r>
        <w:rPr>
          <w:rFonts w:hint="default"/>
          <w:lang w:val="en-US" w:eastAsia="zh-CN"/>
        </w:rPr>
        <w:t>AQ8003-2007</w:t>
      </w:r>
      <w:r>
        <w:rPr>
          <w:rFonts w:hint="eastAsia"/>
          <w:lang w:val="en-US" w:eastAsia="zh-CN"/>
        </w:rPr>
        <w:t>）</w:t>
      </w:r>
      <w:r>
        <w:rPr>
          <w:rFonts w:hint="default"/>
          <w:lang w:val="en-US" w:eastAsia="zh-CN"/>
        </w:rPr>
        <w:t>的规定、《危险化学品建设项目安全评价细则（试行）》（安监总局</w:t>
      </w:r>
      <w:r>
        <w:rPr>
          <w:rFonts w:hint="eastAsia" w:ascii="宋体" w:hAnsi="宋体" w:eastAsia="宋体" w:cs="宋体"/>
          <w:lang w:val="en-US" w:eastAsia="zh-CN"/>
        </w:rPr>
        <w:t>[</w:t>
      </w:r>
      <w:r>
        <w:rPr>
          <w:rFonts w:hint="default"/>
          <w:lang w:val="en-US" w:eastAsia="zh-CN"/>
        </w:rPr>
        <w:t>2007</w:t>
      </w:r>
      <w:r>
        <w:rPr>
          <w:rFonts w:hint="eastAsia" w:ascii="宋体" w:hAnsi="宋体" w:eastAsia="宋体" w:cs="宋体"/>
          <w:lang w:val="en-US" w:eastAsia="zh-CN"/>
        </w:rPr>
        <w:t>]</w:t>
      </w:r>
      <w:r>
        <w:rPr>
          <w:rFonts w:hint="default"/>
          <w:lang w:val="en-US" w:eastAsia="zh-CN"/>
        </w:rPr>
        <w:t>255号）的相关规定，</w:t>
      </w:r>
      <w:r>
        <w:rPr>
          <w:rFonts w:hint="eastAsia"/>
          <w:lang w:val="en-US" w:eastAsia="zh-CN"/>
        </w:rPr>
        <w:t>本项目</w:t>
      </w:r>
      <w:r>
        <w:rPr>
          <w:rFonts w:hint="default"/>
          <w:lang w:val="en-US" w:eastAsia="zh-CN"/>
        </w:rPr>
        <w:t>安全验收评价工作程序如下：</w:t>
      </w:r>
    </w:p>
    <w:p w14:paraId="56E52322">
      <w:pPr>
        <w:rPr>
          <w:rFonts w:hint="default"/>
          <w:lang w:val="en-US" w:eastAsia="zh-CN"/>
        </w:rPr>
      </w:pPr>
      <w:r>
        <w:rPr>
          <w:rFonts w:hint="default"/>
          <w:lang w:val="en-US" w:eastAsia="zh-CN"/>
        </w:rPr>
        <w:t>1</w:t>
      </w:r>
      <w:r>
        <w:rPr>
          <w:rFonts w:hint="eastAsia"/>
          <w:lang w:val="en-US" w:eastAsia="zh-CN"/>
        </w:rPr>
        <w:t xml:space="preserve">. </w:t>
      </w:r>
      <w:r>
        <w:rPr>
          <w:rFonts w:hint="default"/>
          <w:lang w:val="en-US" w:eastAsia="zh-CN"/>
        </w:rPr>
        <w:t>前期准备</w:t>
      </w:r>
    </w:p>
    <w:p w14:paraId="06C63638">
      <w:pPr>
        <w:rPr>
          <w:rFonts w:hint="default"/>
          <w:lang w:val="en-US" w:eastAsia="zh-CN"/>
        </w:rPr>
      </w:pPr>
      <w:r>
        <w:rPr>
          <w:rFonts w:hint="default"/>
          <w:lang w:val="en-US" w:eastAsia="zh-CN"/>
        </w:rPr>
        <w:t>明确被评价对象和范围</w:t>
      </w:r>
      <w:r>
        <w:rPr>
          <w:rFonts w:hint="eastAsia"/>
          <w:lang w:val="en-US" w:eastAsia="zh-CN"/>
        </w:rPr>
        <w:t>，</w:t>
      </w:r>
      <w:r>
        <w:rPr>
          <w:rFonts w:hint="default"/>
          <w:lang w:val="en-US" w:eastAsia="zh-CN"/>
        </w:rPr>
        <w:t>进行现场调查，收集国内外相关法律法规、技术标准及建设项目的资料等。</w:t>
      </w:r>
    </w:p>
    <w:p w14:paraId="66CA97FD">
      <w:pPr>
        <w:rPr>
          <w:rFonts w:hint="default"/>
          <w:lang w:val="en-US" w:eastAsia="zh-CN"/>
        </w:rPr>
      </w:pPr>
      <w:r>
        <w:rPr>
          <w:rFonts w:hint="default"/>
          <w:lang w:val="en-US" w:eastAsia="zh-CN"/>
        </w:rPr>
        <w:t>2</w:t>
      </w:r>
      <w:r>
        <w:rPr>
          <w:rFonts w:hint="eastAsia"/>
          <w:lang w:val="en-US" w:eastAsia="zh-CN"/>
        </w:rPr>
        <w:t xml:space="preserve">. </w:t>
      </w:r>
      <w:r>
        <w:rPr>
          <w:rFonts w:hint="default"/>
          <w:lang w:val="en-US" w:eastAsia="zh-CN"/>
        </w:rPr>
        <w:t>辨识与分析危险、有害因素</w:t>
      </w:r>
    </w:p>
    <w:p w14:paraId="6C35FC03">
      <w:pPr>
        <w:rPr>
          <w:rFonts w:hint="default"/>
          <w:lang w:val="en-US" w:eastAsia="zh-CN"/>
        </w:rPr>
      </w:pPr>
      <w:r>
        <w:rPr>
          <w:rFonts w:hint="default"/>
          <w:lang w:val="en-US" w:eastAsia="zh-CN"/>
        </w:rPr>
        <w:t>针对项目的生产试运行情况及生产特点，尤其是现场检查的结果采用科学、合理的评价方法，进行危险、有害因素识别和危险性分析，确定主要危险部位、物料的主要危险特性，辨识重大危险源，明确可以导致重大事故的缺陷和隐患。</w:t>
      </w:r>
    </w:p>
    <w:p w14:paraId="68C6ADA7">
      <w:pPr>
        <w:rPr>
          <w:rFonts w:hint="default"/>
          <w:lang w:val="en-US" w:eastAsia="zh-CN"/>
        </w:rPr>
      </w:pPr>
      <w:r>
        <w:rPr>
          <w:rFonts w:hint="default"/>
          <w:lang w:val="en-US" w:eastAsia="zh-CN"/>
        </w:rPr>
        <w:t>3</w:t>
      </w:r>
      <w:r>
        <w:rPr>
          <w:rFonts w:hint="eastAsia"/>
          <w:lang w:val="en-US" w:eastAsia="zh-CN"/>
        </w:rPr>
        <w:t xml:space="preserve">. </w:t>
      </w:r>
      <w:r>
        <w:rPr>
          <w:rFonts w:hint="default"/>
          <w:lang w:val="en-US" w:eastAsia="zh-CN"/>
        </w:rPr>
        <w:t>划分评价单元</w:t>
      </w:r>
    </w:p>
    <w:p w14:paraId="0B0F8E58">
      <w:pPr>
        <w:rPr>
          <w:rFonts w:hint="default"/>
          <w:lang w:val="en-US" w:eastAsia="zh-CN"/>
        </w:rPr>
      </w:pPr>
      <w:r>
        <w:rPr>
          <w:rFonts w:hint="default"/>
          <w:lang w:val="en-US" w:eastAsia="zh-CN"/>
        </w:rPr>
        <w:t>一般将生产工艺、工艺装置、物料的特点和特征与危险有害因素的类别、分布有机结合进行划分。划分评价单元应能够保证安全验收评价的顺利实施。</w:t>
      </w:r>
    </w:p>
    <w:p w14:paraId="5CD9FFFD">
      <w:pPr>
        <w:rPr>
          <w:rFonts w:hint="default"/>
          <w:lang w:val="en-US" w:eastAsia="zh-CN"/>
        </w:rPr>
      </w:pPr>
      <w:r>
        <w:rPr>
          <w:rFonts w:hint="default"/>
          <w:lang w:val="en-US" w:eastAsia="zh-CN"/>
        </w:rPr>
        <w:t>4</w:t>
      </w:r>
      <w:r>
        <w:rPr>
          <w:rFonts w:hint="eastAsia"/>
          <w:lang w:val="en-US" w:eastAsia="zh-CN"/>
        </w:rPr>
        <w:t xml:space="preserve">. </w:t>
      </w:r>
      <w:r>
        <w:rPr>
          <w:rFonts w:hint="default"/>
          <w:lang w:val="en-US" w:eastAsia="zh-CN"/>
        </w:rPr>
        <w:t>选择评价方法</w:t>
      </w:r>
    </w:p>
    <w:p w14:paraId="67111A07">
      <w:pPr>
        <w:rPr>
          <w:rFonts w:hint="default"/>
          <w:lang w:val="en-US" w:eastAsia="zh-CN"/>
        </w:rPr>
      </w:pPr>
      <w:r>
        <w:rPr>
          <w:rFonts w:hint="default"/>
          <w:lang w:val="en-US" w:eastAsia="zh-CN"/>
        </w:rPr>
        <w:t>根据安全评价对象和要达到的安全评价目的，选择适用的安全评价方法。</w:t>
      </w:r>
    </w:p>
    <w:p w14:paraId="0C2AB341">
      <w:pPr>
        <w:rPr>
          <w:rFonts w:hint="default"/>
          <w:lang w:val="en-US" w:eastAsia="zh-CN"/>
        </w:rPr>
      </w:pPr>
      <w:r>
        <w:rPr>
          <w:rFonts w:hint="default"/>
          <w:lang w:val="en-US" w:eastAsia="zh-CN"/>
        </w:rPr>
        <w:t>5</w:t>
      </w:r>
      <w:r>
        <w:rPr>
          <w:rFonts w:hint="eastAsia"/>
          <w:lang w:val="en-US" w:eastAsia="zh-CN"/>
        </w:rPr>
        <w:t xml:space="preserve">. </w:t>
      </w:r>
      <w:r>
        <w:rPr>
          <w:rFonts w:hint="default"/>
          <w:lang w:val="en-US" w:eastAsia="zh-CN"/>
        </w:rPr>
        <w:t>定性定量评价</w:t>
      </w:r>
    </w:p>
    <w:p w14:paraId="0B083023">
      <w:pPr>
        <w:rPr>
          <w:rFonts w:hint="default"/>
          <w:lang w:val="en-US" w:eastAsia="zh-CN"/>
        </w:rPr>
      </w:pPr>
      <w:r>
        <w:rPr>
          <w:rFonts w:hint="default"/>
          <w:lang w:val="en-US" w:eastAsia="zh-CN"/>
        </w:rPr>
        <w:t>根据选择的安全评价方法，对发生事故的可能性和严重程度分析计算。</w:t>
      </w:r>
    </w:p>
    <w:p w14:paraId="6C50568A">
      <w:pPr>
        <w:rPr>
          <w:rFonts w:hint="default"/>
          <w:lang w:val="en-US" w:eastAsia="zh-CN"/>
        </w:rPr>
      </w:pPr>
      <w:r>
        <w:rPr>
          <w:rFonts w:hint="default"/>
          <w:lang w:val="en-US" w:eastAsia="zh-CN"/>
        </w:rPr>
        <w:t>6</w:t>
      </w:r>
      <w:r>
        <w:rPr>
          <w:rFonts w:hint="eastAsia"/>
          <w:lang w:val="en-US" w:eastAsia="zh-CN"/>
        </w:rPr>
        <w:t xml:space="preserve">. </w:t>
      </w:r>
      <w:r>
        <w:rPr>
          <w:rFonts w:hint="default"/>
          <w:lang w:val="en-US" w:eastAsia="zh-CN"/>
        </w:rPr>
        <w:t>提出安全对策措施建议</w:t>
      </w:r>
    </w:p>
    <w:p w14:paraId="5752523B">
      <w:pPr>
        <w:rPr>
          <w:rFonts w:hint="default"/>
          <w:lang w:val="en-US" w:eastAsia="zh-CN"/>
        </w:rPr>
      </w:pPr>
      <w:r>
        <w:rPr>
          <w:rFonts w:hint="default"/>
          <w:lang w:val="en-US" w:eastAsia="zh-CN"/>
        </w:rPr>
        <w:t>依据国家有关安全生产的法律法规、标准、行政规章、规范的要求，提出具有针对性、可操作性和经济合理性的安全对策措施建议。</w:t>
      </w:r>
    </w:p>
    <w:p w14:paraId="1F41B4FB">
      <w:pPr>
        <w:rPr>
          <w:rFonts w:hint="default"/>
          <w:lang w:val="en-US" w:eastAsia="zh-CN"/>
        </w:rPr>
      </w:pPr>
      <w:r>
        <w:rPr>
          <w:rFonts w:hint="default"/>
          <w:lang w:val="en-US" w:eastAsia="zh-CN"/>
        </w:rPr>
        <w:t>7</w:t>
      </w:r>
      <w:r>
        <w:rPr>
          <w:rFonts w:hint="eastAsia"/>
          <w:lang w:val="en-US" w:eastAsia="zh-CN"/>
        </w:rPr>
        <w:t xml:space="preserve">. </w:t>
      </w:r>
      <w:r>
        <w:rPr>
          <w:rFonts w:hint="default"/>
          <w:lang w:val="en-US" w:eastAsia="zh-CN"/>
        </w:rPr>
        <w:t>做出评价结论</w:t>
      </w:r>
    </w:p>
    <w:p w14:paraId="42C17A34">
      <w:pPr>
        <w:rPr>
          <w:rFonts w:hint="default"/>
          <w:lang w:val="en-US" w:eastAsia="zh-CN"/>
        </w:rPr>
      </w:pPr>
      <w:r>
        <w:rPr>
          <w:rFonts w:hint="default"/>
          <w:lang w:val="en-US" w:eastAsia="zh-CN"/>
        </w:rPr>
        <w:t>列出评价对象存在的危险、有害因素种类及其危险危害程度，说明评价对象是否具备安全验收条件。</w:t>
      </w:r>
    </w:p>
    <w:p w14:paraId="4E973313">
      <w:pPr>
        <w:rPr>
          <w:rFonts w:hint="default"/>
          <w:lang w:val="en-US" w:eastAsia="zh-CN"/>
        </w:rPr>
      </w:pPr>
      <w:r>
        <w:rPr>
          <w:rFonts w:hint="default"/>
          <w:lang w:val="en-US" w:eastAsia="zh-CN"/>
        </w:rPr>
        <w:t>8</w:t>
      </w:r>
      <w:r>
        <w:rPr>
          <w:rFonts w:hint="eastAsia"/>
          <w:lang w:val="en-US" w:eastAsia="zh-CN"/>
        </w:rPr>
        <w:t xml:space="preserve">. </w:t>
      </w:r>
      <w:r>
        <w:rPr>
          <w:rFonts w:hint="default"/>
          <w:lang w:val="en-US" w:eastAsia="zh-CN"/>
        </w:rPr>
        <w:t>编制安全验收评价报告</w:t>
      </w:r>
    </w:p>
    <w:p w14:paraId="4EF7D0DD">
      <w:pPr>
        <w:rPr>
          <w:rFonts w:hint="default"/>
          <w:lang w:val="en-US" w:eastAsia="zh-CN"/>
        </w:rPr>
      </w:pPr>
      <w:r>
        <w:rPr>
          <w:rFonts w:hint="default"/>
          <w:lang w:val="en-US" w:eastAsia="zh-CN"/>
        </w:rPr>
        <w:t>根据安全验收评价计划和验收评价现场检查所获得的数据，对照相关法律法规、技术标准，编制安全验收评价报告。</w:t>
      </w:r>
    </w:p>
    <w:p w14:paraId="7B44CB69">
      <w:pPr>
        <w:rPr>
          <w:rFonts w:hint="default"/>
          <w:lang w:val="en-US" w:eastAsia="zh-CN"/>
        </w:rPr>
      </w:pPr>
      <w:r>
        <w:rPr>
          <w:rFonts w:hint="default"/>
          <w:lang w:val="en-US" w:eastAsia="zh-CN"/>
        </w:rPr>
        <w:t>具体程序如下图所示：</w:t>
      </w:r>
    </w:p>
    <w:p w14:paraId="16F63880">
      <w:pPr>
        <w:ind w:left="0" w:leftChars="0" w:firstLine="0" w:firstLineChars="0"/>
        <w:jc w:val="center"/>
        <w:rPr>
          <w:color w:val="auto"/>
          <w:sz w:val="28"/>
        </w:rPr>
      </w:pPr>
      <w:r>
        <w:rPr>
          <w:color w:val="auto"/>
          <w:sz w:val="28"/>
        </w:rPr>
        <mc:AlternateContent>
          <mc:Choice Requires="wpg">
            <w:drawing>
              <wp:inline distT="0" distB="0" distL="114300" distR="114300">
                <wp:extent cx="2364740" cy="4940300"/>
                <wp:effectExtent l="4445" t="5080" r="12065" b="7620"/>
                <wp:docPr id="6" name="组合 6"/>
                <wp:cNvGraphicFramePr/>
                <a:graphic xmlns:a="http://schemas.openxmlformats.org/drawingml/2006/main">
                  <a:graphicData uri="http://schemas.microsoft.com/office/word/2010/wordprocessingGroup">
                    <wpg:wgp>
                      <wpg:cNvGrpSpPr/>
                      <wpg:grpSpPr>
                        <a:xfrm>
                          <a:off x="0" y="0"/>
                          <a:ext cx="2364740" cy="4940300"/>
                          <a:chOff x="4464" y="310180"/>
                          <a:chExt cx="4740" cy="8576"/>
                        </a:xfrm>
                      </wpg:grpSpPr>
                      <wps:wsp>
                        <wps:cNvPr id="24" name="文本框 1"/>
                        <wps:cNvSpPr txBox="1"/>
                        <wps:spPr>
                          <a:xfrm>
                            <a:off x="4474" y="310180"/>
                            <a:ext cx="4730" cy="4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5000D9C">
                              <w:pPr>
                                <w:ind w:left="0" w:leftChars="0" w:firstLine="0" w:firstLineChars="0"/>
                                <w:jc w:val="center"/>
                                <w:rPr>
                                  <w:sz w:val="18"/>
                                  <w:szCs w:val="18"/>
                                </w:rPr>
                              </w:pPr>
                              <w:r>
                                <w:rPr>
                                  <w:rFonts w:hint="eastAsia"/>
                                  <w:sz w:val="18"/>
                                  <w:szCs w:val="18"/>
                                </w:rPr>
                                <w:t>前期准备</w:t>
                              </w:r>
                            </w:p>
                          </w:txbxContent>
                        </wps:txbx>
                        <wps:bodyPr upright="1"/>
                      </wps:wsp>
                      <wps:wsp>
                        <wps:cNvPr id="25" name="文本框 2"/>
                        <wps:cNvSpPr txBox="1"/>
                        <wps:spPr>
                          <a:xfrm>
                            <a:off x="4474" y="311303"/>
                            <a:ext cx="4705" cy="4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B35BEEF">
                              <w:pPr>
                                <w:ind w:left="0" w:leftChars="0" w:firstLine="0" w:firstLineChars="0"/>
                                <w:jc w:val="center"/>
                                <w:rPr>
                                  <w:sz w:val="18"/>
                                  <w:szCs w:val="18"/>
                                </w:rPr>
                              </w:pPr>
                              <w:r>
                                <w:rPr>
                                  <w:rFonts w:hint="eastAsia"/>
                                  <w:sz w:val="18"/>
                                  <w:szCs w:val="18"/>
                                </w:rPr>
                                <w:t>辩识与分析危险、有害因素</w:t>
                              </w:r>
                            </w:p>
                          </w:txbxContent>
                        </wps:txbx>
                        <wps:bodyPr upright="1"/>
                      </wps:wsp>
                      <wps:wsp>
                        <wps:cNvPr id="26" name="文本框 3"/>
                        <wps:cNvSpPr txBox="1"/>
                        <wps:spPr>
                          <a:xfrm>
                            <a:off x="4474" y="312532"/>
                            <a:ext cx="4688" cy="4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732AF91">
                              <w:pPr>
                                <w:ind w:left="0" w:leftChars="0" w:firstLine="0" w:firstLineChars="0"/>
                                <w:jc w:val="center"/>
                                <w:rPr>
                                  <w:sz w:val="18"/>
                                  <w:szCs w:val="18"/>
                                </w:rPr>
                              </w:pPr>
                              <w:r>
                                <w:rPr>
                                  <w:rFonts w:hint="eastAsia"/>
                                  <w:sz w:val="18"/>
                                  <w:szCs w:val="18"/>
                                </w:rPr>
                                <w:t>划分评价单元</w:t>
                              </w:r>
                            </w:p>
                          </w:txbxContent>
                        </wps:txbx>
                        <wps:bodyPr upright="1"/>
                      </wps:wsp>
                      <wps:wsp>
                        <wps:cNvPr id="27" name="文本框 4"/>
                        <wps:cNvSpPr txBox="1"/>
                        <wps:spPr>
                          <a:xfrm>
                            <a:off x="4474" y="313655"/>
                            <a:ext cx="4688" cy="4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F7862E5">
                              <w:pPr>
                                <w:ind w:left="0" w:leftChars="0" w:firstLine="0" w:firstLineChars="0"/>
                                <w:jc w:val="center"/>
                                <w:rPr>
                                  <w:sz w:val="18"/>
                                  <w:szCs w:val="18"/>
                                </w:rPr>
                              </w:pPr>
                              <w:r>
                                <w:rPr>
                                  <w:rFonts w:hint="eastAsia"/>
                                  <w:sz w:val="18"/>
                                  <w:szCs w:val="18"/>
                                </w:rPr>
                                <w:t>选择评价方法</w:t>
                              </w:r>
                            </w:p>
                          </w:txbxContent>
                        </wps:txbx>
                        <wps:bodyPr upright="1"/>
                      </wps:wsp>
                      <wps:wsp>
                        <wps:cNvPr id="28" name="文本框 5"/>
                        <wps:cNvSpPr txBox="1"/>
                        <wps:spPr>
                          <a:xfrm>
                            <a:off x="4474" y="314871"/>
                            <a:ext cx="4688" cy="4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C7C11A0">
                              <w:pPr>
                                <w:ind w:left="0" w:leftChars="0" w:firstLine="0" w:firstLineChars="0"/>
                                <w:jc w:val="center"/>
                                <w:rPr>
                                  <w:sz w:val="18"/>
                                  <w:szCs w:val="18"/>
                                </w:rPr>
                              </w:pPr>
                              <w:r>
                                <w:rPr>
                                  <w:rFonts w:hint="eastAsia"/>
                                  <w:sz w:val="18"/>
                                  <w:szCs w:val="18"/>
                                </w:rPr>
                                <w:t>定性、定量评价</w:t>
                              </w:r>
                            </w:p>
                          </w:txbxContent>
                        </wps:txbx>
                        <wps:bodyPr upright="1"/>
                      </wps:wsp>
                      <wps:wsp>
                        <wps:cNvPr id="29" name="文本框 6"/>
                        <wps:cNvSpPr txBox="1"/>
                        <wps:spPr>
                          <a:xfrm>
                            <a:off x="4474" y="315994"/>
                            <a:ext cx="4676" cy="4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EBF82D8">
                              <w:pPr>
                                <w:ind w:left="0" w:leftChars="0" w:firstLine="0" w:firstLineChars="0"/>
                                <w:jc w:val="center"/>
                                <w:rPr>
                                  <w:sz w:val="18"/>
                                  <w:szCs w:val="18"/>
                                </w:rPr>
                              </w:pPr>
                              <w:r>
                                <w:rPr>
                                  <w:rFonts w:hint="eastAsia"/>
                                  <w:sz w:val="18"/>
                                  <w:szCs w:val="18"/>
                                </w:rPr>
                                <w:t>提出安全对策措施建议</w:t>
                              </w:r>
                            </w:p>
                          </w:txbxContent>
                        </wps:txbx>
                        <wps:bodyPr upright="1"/>
                      </wps:wsp>
                      <wps:wsp>
                        <wps:cNvPr id="30" name="文本框 7"/>
                        <wps:cNvSpPr txBox="1"/>
                        <wps:spPr>
                          <a:xfrm>
                            <a:off x="4474" y="317223"/>
                            <a:ext cx="4688" cy="4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D1A38CB">
                              <w:pPr>
                                <w:ind w:left="0" w:leftChars="0" w:firstLine="0" w:firstLineChars="0"/>
                                <w:jc w:val="center"/>
                                <w:rPr>
                                  <w:sz w:val="18"/>
                                  <w:szCs w:val="18"/>
                                </w:rPr>
                              </w:pPr>
                              <w:r>
                                <w:rPr>
                                  <w:rFonts w:hint="eastAsia"/>
                                  <w:sz w:val="18"/>
                                  <w:szCs w:val="18"/>
                                </w:rPr>
                                <w:t>做出评价结论</w:t>
                              </w:r>
                            </w:p>
                          </w:txbxContent>
                        </wps:txbx>
                        <wps:bodyPr upright="1"/>
                      </wps:wsp>
                      <wps:wsp>
                        <wps:cNvPr id="31" name="文本框 8"/>
                        <wps:cNvSpPr txBox="1"/>
                        <wps:spPr>
                          <a:xfrm>
                            <a:off x="4464" y="318345"/>
                            <a:ext cx="4681" cy="4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6B8ABF2">
                              <w:pPr>
                                <w:keepNext w:val="0"/>
                                <w:keepLines w:val="0"/>
                                <w:pageBreakBefore w:val="0"/>
                                <w:widowControl w:val="0"/>
                                <w:kinsoku/>
                                <w:wordWrap/>
                                <w:overflowPunct/>
                                <w:topLinePunct w:val="0"/>
                                <w:bidi w:val="0"/>
                                <w:adjustRightInd w:val="0"/>
                                <w:snapToGrid w:val="0"/>
                                <w:ind w:left="0" w:leftChars="0" w:firstLine="0" w:firstLineChars="0"/>
                                <w:jc w:val="center"/>
                                <w:textAlignment w:val="auto"/>
                                <w:rPr>
                                  <w:sz w:val="18"/>
                                  <w:szCs w:val="18"/>
                                </w:rPr>
                              </w:pPr>
                              <w:r>
                                <w:rPr>
                                  <w:rFonts w:hint="eastAsia"/>
                                  <w:sz w:val="18"/>
                                  <w:szCs w:val="18"/>
                                </w:rPr>
                                <w:t>编制安全</w:t>
                              </w:r>
                              <w:r>
                                <w:rPr>
                                  <w:rFonts w:hint="eastAsia"/>
                                  <w:sz w:val="18"/>
                                  <w:szCs w:val="18"/>
                                  <w:lang w:val="en-US" w:eastAsia="zh-CN"/>
                                </w:rPr>
                                <w:t>验收</w:t>
                              </w:r>
                              <w:r>
                                <w:rPr>
                                  <w:rFonts w:hint="eastAsia"/>
                                  <w:sz w:val="18"/>
                                  <w:szCs w:val="18"/>
                                </w:rPr>
                                <w:t>评价报告</w:t>
                              </w:r>
                            </w:p>
                          </w:txbxContent>
                        </wps:txbx>
                        <wps:bodyPr upright="1"/>
                      </wps:wsp>
                      <wps:wsp>
                        <wps:cNvPr id="32" name="直接连接符 9"/>
                        <wps:cNvCnPr/>
                        <wps:spPr>
                          <a:xfrm>
                            <a:off x="6795" y="310587"/>
                            <a:ext cx="0" cy="714"/>
                          </a:xfrm>
                          <a:prstGeom prst="line">
                            <a:avLst/>
                          </a:prstGeom>
                          <a:ln w="9525" cap="flat" cmpd="sng">
                            <a:solidFill>
                              <a:srgbClr val="000000"/>
                            </a:solidFill>
                            <a:prstDash val="solid"/>
                            <a:headEnd type="none" w="med" len="med"/>
                            <a:tailEnd type="triangle" w="med" len="med"/>
                          </a:ln>
                        </wps:spPr>
                        <wps:bodyPr upright="1"/>
                      </wps:wsp>
                      <wps:wsp>
                        <wps:cNvPr id="33" name="直接连接符 10"/>
                        <wps:cNvCnPr/>
                        <wps:spPr>
                          <a:xfrm>
                            <a:off x="6795" y="311711"/>
                            <a:ext cx="0" cy="819"/>
                          </a:xfrm>
                          <a:prstGeom prst="line">
                            <a:avLst/>
                          </a:prstGeom>
                          <a:ln w="9525" cap="flat" cmpd="sng">
                            <a:solidFill>
                              <a:srgbClr val="000000"/>
                            </a:solidFill>
                            <a:prstDash val="solid"/>
                            <a:headEnd type="none" w="med" len="med"/>
                            <a:tailEnd type="triangle" w="med" len="med"/>
                          </a:ln>
                        </wps:spPr>
                        <wps:bodyPr upright="1"/>
                      </wps:wsp>
                      <wps:wsp>
                        <wps:cNvPr id="34" name="直接连接符 11"/>
                        <wps:cNvCnPr/>
                        <wps:spPr>
                          <a:xfrm>
                            <a:off x="6817" y="312940"/>
                            <a:ext cx="0" cy="714"/>
                          </a:xfrm>
                          <a:prstGeom prst="line">
                            <a:avLst/>
                          </a:prstGeom>
                          <a:ln w="9525" cap="flat" cmpd="sng">
                            <a:solidFill>
                              <a:srgbClr val="000000"/>
                            </a:solidFill>
                            <a:prstDash val="solid"/>
                            <a:headEnd type="none" w="med" len="med"/>
                            <a:tailEnd type="triangle" w="med" len="med"/>
                          </a:ln>
                        </wps:spPr>
                        <wps:bodyPr upright="1"/>
                      </wps:wsp>
                      <wps:wsp>
                        <wps:cNvPr id="35" name="直接连接符 12"/>
                        <wps:cNvCnPr/>
                        <wps:spPr>
                          <a:xfrm>
                            <a:off x="6817" y="314063"/>
                            <a:ext cx="0" cy="806"/>
                          </a:xfrm>
                          <a:prstGeom prst="line">
                            <a:avLst/>
                          </a:prstGeom>
                          <a:ln w="9525" cap="flat" cmpd="sng">
                            <a:solidFill>
                              <a:srgbClr val="000000"/>
                            </a:solidFill>
                            <a:prstDash val="solid"/>
                            <a:headEnd type="none" w="med" len="med"/>
                            <a:tailEnd type="triangle" w="med" len="med"/>
                          </a:ln>
                        </wps:spPr>
                        <wps:bodyPr upright="1"/>
                      </wps:wsp>
                      <wps:wsp>
                        <wps:cNvPr id="36" name="直接连接符 13"/>
                        <wps:cNvCnPr/>
                        <wps:spPr>
                          <a:xfrm>
                            <a:off x="6817" y="315278"/>
                            <a:ext cx="0" cy="714"/>
                          </a:xfrm>
                          <a:prstGeom prst="line">
                            <a:avLst/>
                          </a:prstGeom>
                          <a:ln w="9525" cap="flat" cmpd="sng">
                            <a:solidFill>
                              <a:srgbClr val="000000"/>
                            </a:solidFill>
                            <a:prstDash val="solid"/>
                            <a:headEnd type="none" w="med" len="med"/>
                            <a:tailEnd type="triangle" w="med" len="med"/>
                          </a:ln>
                        </wps:spPr>
                        <wps:bodyPr upright="1"/>
                      </wps:wsp>
                      <wps:wsp>
                        <wps:cNvPr id="37" name="直接连接符 14"/>
                        <wps:cNvCnPr/>
                        <wps:spPr>
                          <a:xfrm>
                            <a:off x="6795" y="316402"/>
                            <a:ext cx="0" cy="819"/>
                          </a:xfrm>
                          <a:prstGeom prst="line">
                            <a:avLst/>
                          </a:prstGeom>
                          <a:ln w="9525" cap="flat" cmpd="sng">
                            <a:solidFill>
                              <a:srgbClr val="000000"/>
                            </a:solidFill>
                            <a:prstDash val="solid"/>
                            <a:headEnd type="none" w="med" len="med"/>
                            <a:tailEnd type="triangle" w="med" len="med"/>
                          </a:ln>
                        </wps:spPr>
                        <wps:bodyPr upright="1"/>
                      </wps:wsp>
                      <wps:wsp>
                        <wps:cNvPr id="38" name="直接连接符 15"/>
                        <wps:cNvCnPr/>
                        <wps:spPr>
                          <a:xfrm>
                            <a:off x="6795" y="317631"/>
                            <a:ext cx="0" cy="714"/>
                          </a:xfrm>
                          <a:prstGeom prst="line">
                            <a:avLst/>
                          </a:prstGeom>
                          <a:ln w="9525" cap="flat" cmpd="sng">
                            <a:solidFill>
                              <a:srgbClr val="000000"/>
                            </a:solidFill>
                            <a:prstDash val="solid"/>
                            <a:headEnd type="none" w="med" len="med"/>
                            <a:tailEnd type="triangle" w="med" len="med"/>
                          </a:ln>
                        </wps:spPr>
                        <wps:bodyPr upright="1"/>
                      </wps:wsp>
                    </wpg:wgp>
                  </a:graphicData>
                </a:graphic>
              </wp:inline>
            </w:drawing>
          </mc:Choice>
          <mc:Fallback>
            <w:pict>
              <v:group id="_x0000_s1026" o:spid="_x0000_s1026" o:spt="203" style="height:389pt;width:186.2pt;" coordorigin="4464,310180" coordsize="4740,8576" o:gfxdata="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">
                <o:lock v:ext="edit" aspectratio="f"/>
                <v:shape id="文本框 1" o:spid="_x0000_s1026" o:spt="202" type="#_x0000_t202" style="position:absolute;left:4474;top:310180;height:410;width:4730;" fillcolor="#FFFFFF" filled="t" stroked="t" coordsize="21600,21600" o:gfxdata="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gTE2e/&#10;AAAA2w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55000D9C">
                        <w:pPr>
                          <w:ind w:left="0" w:leftChars="0" w:firstLine="0" w:firstLineChars="0"/>
                          <w:jc w:val="center"/>
                          <w:rPr>
                            <w:sz w:val="18"/>
                            <w:szCs w:val="18"/>
                          </w:rPr>
                        </w:pPr>
                        <w:r>
                          <w:rPr>
                            <w:rFonts w:hint="eastAsia"/>
                            <w:sz w:val="18"/>
                            <w:szCs w:val="18"/>
                          </w:rPr>
                          <w:t>前期准备</w:t>
                        </w:r>
                      </w:p>
                    </w:txbxContent>
                  </v:textbox>
                </v:shape>
                <v:shape id="文本框 2" o:spid="_x0000_s1026" o:spt="202" type="#_x0000_t202" style="position:absolute;left:4474;top:311303;height:411;width:4705;" fillcolor="#FFFFFF" filled="t" stroked="t" coordsize="21600,21600" o:gfxdata="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X7b8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B35BEEF">
                        <w:pPr>
                          <w:ind w:left="0" w:leftChars="0" w:firstLine="0" w:firstLineChars="0"/>
                          <w:jc w:val="center"/>
                          <w:rPr>
                            <w:sz w:val="18"/>
                            <w:szCs w:val="18"/>
                          </w:rPr>
                        </w:pPr>
                        <w:r>
                          <w:rPr>
                            <w:rFonts w:hint="eastAsia"/>
                            <w:sz w:val="18"/>
                            <w:szCs w:val="18"/>
                          </w:rPr>
                          <w:t>辩识与分析危险、有害因素</w:t>
                        </w:r>
                      </w:p>
                    </w:txbxContent>
                  </v:textbox>
                </v:shape>
                <v:shape id="文本框 3" o:spid="_x0000_s1026" o:spt="202" type="#_x0000_t202" style="position:absolute;left:4474;top:312532;height:410;width:4688;" fillcolor="#FFFFFF" filled="t" stroked="t" coordsize="21600,21600" o:gfxdata="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jSiL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732AF91">
                        <w:pPr>
                          <w:ind w:left="0" w:leftChars="0" w:firstLine="0" w:firstLineChars="0"/>
                          <w:jc w:val="center"/>
                          <w:rPr>
                            <w:sz w:val="18"/>
                            <w:szCs w:val="18"/>
                          </w:rPr>
                        </w:pPr>
                        <w:r>
                          <w:rPr>
                            <w:rFonts w:hint="eastAsia"/>
                            <w:sz w:val="18"/>
                            <w:szCs w:val="18"/>
                          </w:rPr>
                          <w:t>划分评价单元</w:t>
                        </w:r>
                      </w:p>
                    </w:txbxContent>
                  </v:textbox>
                </v:shape>
                <v:shape id="文本框 4" o:spid="_x0000_s1026" o:spt="202" type="#_x0000_t202" style="position:absolute;left:4474;top:313655;height:410;width:4688;" fillcolor="#FFFFFF" filled="t" stroked="t" coordsize="21600,21600" o:gfxdata="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jBjRC/&#10;AAAA2w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1F7862E5">
                        <w:pPr>
                          <w:ind w:left="0" w:leftChars="0" w:firstLine="0" w:firstLineChars="0"/>
                          <w:jc w:val="center"/>
                          <w:rPr>
                            <w:sz w:val="18"/>
                            <w:szCs w:val="18"/>
                          </w:rPr>
                        </w:pPr>
                        <w:r>
                          <w:rPr>
                            <w:rFonts w:hint="eastAsia"/>
                            <w:sz w:val="18"/>
                            <w:szCs w:val="18"/>
                          </w:rPr>
                          <w:t>选择评价方法</w:t>
                        </w:r>
                      </w:p>
                    </w:txbxContent>
                  </v:textbox>
                </v:shape>
                <v:shape id="文本框 5" o:spid="_x0000_s1026" o:spt="202" type="#_x0000_t202" style="position:absolute;left:4474;top:314871;height:410;width:4688;" fillcolor="#FFFFFF" filled="t" stroked="t" coordsize="21600,21600" o:gfxdata="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JXhli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1C7C11A0">
                        <w:pPr>
                          <w:ind w:left="0" w:leftChars="0" w:firstLine="0" w:firstLineChars="0"/>
                          <w:jc w:val="center"/>
                          <w:rPr>
                            <w:sz w:val="18"/>
                            <w:szCs w:val="18"/>
                          </w:rPr>
                        </w:pPr>
                        <w:r>
                          <w:rPr>
                            <w:rFonts w:hint="eastAsia"/>
                            <w:sz w:val="18"/>
                            <w:szCs w:val="18"/>
                          </w:rPr>
                          <w:t>定性、定量评价</w:t>
                        </w:r>
                      </w:p>
                    </w:txbxContent>
                  </v:textbox>
                </v:shape>
                <v:shape id="文本框 6" o:spid="_x0000_s1026" o:spt="202" type="#_x0000_t202" style="position:absolute;left:4474;top:315994;height:411;width:4676;" fillcolor="#FFFFFF" filled="t" stroked="t" coordsize="21600,21600" o:gfxdata="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mErz5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7EBF82D8">
                        <w:pPr>
                          <w:ind w:left="0" w:leftChars="0" w:firstLine="0" w:firstLineChars="0"/>
                          <w:jc w:val="center"/>
                          <w:rPr>
                            <w:sz w:val="18"/>
                            <w:szCs w:val="18"/>
                          </w:rPr>
                        </w:pPr>
                        <w:r>
                          <w:rPr>
                            <w:rFonts w:hint="eastAsia"/>
                            <w:sz w:val="18"/>
                            <w:szCs w:val="18"/>
                          </w:rPr>
                          <w:t>提出安全对策措施建议</w:t>
                        </w:r>
                      </w:p>
                    </w:txbxContent>
                  </v:textbox>
                </v:shape>
                <v:shape id="文本框 7" o:spid="_x0000_s1026" o:spt="202" type="#_x0000_t202" style="position:absolute;left:4474;top:317223;height:410;width:4688;" fillcolor="#FFFFFF" filled="t" stroked="t" coordsize="21600,21600" o:gfxdata="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vGDub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6D1A38CB">
                        <w:pPr>
                          <w:ind w:left="0" w:leftChars="0" w:firstLine="0" w:firstLineChars="0"/>
                          <w:jc w:val="center"/>
                          <w:rPr>
                            <w:sz w:val="18"/>
                            <w:szCs w:val="18"/>
                          </w:rPr>
                        </w:pPr>
                        <w:r>
                          <w:rPr>
                            <w:rFonts w:hint="eastAsia"/>
                            <w:sz w:val="18"/>
                            <w:szCs w:val="18"/>
                          </w:rPr>
                          <w:t>做出评价结论</w:t>
                        </w:r>
                      </w:p>
                    </w:txbxContent>
                  </v:textbox>
                </v:shape>
                <v:shape id="文本框 8" o:spid="_x0000_s1026" o:spt="202" type="#_x0000_t202" style="position:absolute;left:4464;top:318345;height:411;width:4681;" fillcolor="#FFFFFF" filled="t" stroked="t" coordsize="21600,21600" o:gfxdata="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b0mI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26B8ABF2">
                        <w:pPr>
                          <w:keepNext w:val="0"/>
                          <w:keepLines w:val="0"/>
                          <w:pageBreakBefore w:val="0"/>
                          <w:widowControl w:val="0"/>
                          <w:kinsoku/>
                          <w:wordWrap/>
                          <w:overflowPunct/>
                          <w:topLinePunct w:val="0"/>
                          <w:bidi w:val="0"/>
                          <w:adjustRightInd w:val="0"/>
                          <w:snapToGrid w:val="0"/>
                          <w:ind w:left="0" w:leftChars="0" w:firstLine="0" w:firstLineChars="0"/>
                          <w:jc w:val="center"/>
                          <w:textAlignment w:val="auto"/>
                          <w:rPr>
                            <w:sz w:val="18"/>
                            <w:szCs w:val="18"/>
                          </w:rPr>
                        </w:pPr>
                        <w:r>
                          <w:rPr>
                            <w:rFonts w:hint="eastAsia"/>
                            <w:sz w:val="18"/>
                            <w:szCs w:val="18"/>
                          </w:rPr>
                          <w:t>编制安全</w:t>
                        </w:r>
                        <w:r>
                          <w:rPr>
                            <w:rFonts w:hint="eastAsia"/>
                            <w:sz w:val="18"/>
                            <w:szCs w:val="18"/>
                            <w:lang w:val="en-US" w:eastAsia="zh-CN"/>
                          </w:rPr>
                          <w:t>验收</w:t>
                        </w:r>
                        <w:r>
                          <w:rPr>
                            <w:rFonts w:hint="eastAsia"/>
                            <w:sz w:val="18"/>
                            <w:szCs w:val="18"/>
                          </w:rPr>
                          <w:t>评价报告</w:t>
                        </w:r>
                      </w:p>
                    </w:txbxContent>
                  </v:textbox>
                </v:shape>
                <v:line id="直接连接符 9" o:spid="_x0000_s1026" o:spt="20" style="position:absolute;left:6795;top:310587;height:714;width:0;" filled="f" stroked="t" coordsize="21600,21600" o:gfxdata="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2Cmye/&#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接连接符 10" o:spid="_x0000_s1026" o:spt="20" style="position:absolute;left:6795;top:311711;height:819;width:0;" filled="f" stroked="t" coordsize="21600,21600" o:gfxdata="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s4+vL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直接连接符 11" o:spid="_x0000_s1026" o:spt="20" style="position:absolute;left:6817;top:312940;height:714;width:0;" filled="f" stroked="t" coordsize="21600,21600" o:gfxdata="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0npsi/&#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接连接符 12" o:spid="_x0000_s1026" o:spt="20" style="position:absolute;left:6817;top:314063;height:806;width:0;" filled="f" stroked="t" coordsize="21600,21600" o:gfxdata="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JrA1O/&#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接连接符 13" o:spid="_x0000_s1026" o:spt="20" style="position:absolute;left:6817;top:315278;height:714;width:0;" filled="f" stroked="t" coordsize="21600,21600" o:gfxdata="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K5nSS/&#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接连接符 14" o:spid="_x0000_s1026" o:spt="20" style="position:absolute;left:6795;top:316402;height:819;width:0;" filled="f" stroked="t" coordsize="21600,21600" o:gfxdata="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31OL+/&#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接连接符 15" o:spid="_x0000_s1026" o:spt="20" style="position:absolute;left:6795;top:317631;height:714;width:0;" filled="f" stroked="t" coordsize="21600,21600" o:gfxdata="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3Gqszb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w10:wrap type="none"/>
                <w10:anchorlock/>
              </v:group>
            </w:pict>
          </mc:Fallback>
        </mc:AlternateContent>
      </w:r>
    </w:p>
    <w:p w14:paraId="7B59C720">
      <w:pPr>
        <w:ind w:left="0" w:leftChars="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图1.4-1 安全</w:t>
      </w:r>
      <w:r>
        <w:rPr>
          <w:rFonts w:hint="eastAsia" w:ascii="Times New Roman" w:hAnsi="Times New Roman" w:eastAsia="宋体" w:cs="Times New Roman"/>
          <w:color w:val="auto"/>
          <w:lang w:val="en-US" w:eastAsia="zh-CN"/>
        </w:rPr>
        <w:t>验收</w:t>
      </w:r>
      <w:r>
        <w:rPr>
          <w:rFonts w:hint="default" w:ascii="Times New Roman" w:hAnsi="Times New Roman" w:eastAsia="宋体" w:cs="Times New Roman"/>
          <w:color w:val="auto"/>
          <w:lang w:val="en-US" w:eastAsia="zh-CN"/>
        </w:rPr>
        <w:t>评价程序框</w:t>
      </w:r>
    </w:p>
    <w:p w14:paraId="7D25BDD3">
      <w:pPr>
        <w:rPr>
          <w:rFonts w:hint="default"/>
          <w:color w:val="auto"/>
          <w:sz w:val="28"/>
          <w:lang w:val="en-US" w:eastAsia="zh-CN"/>
        </w:rPr>
      </w:pPr>
      <w:r>
        <w:rPr>
          <w:rFonts w:hint="default"/>
          <w:color w:val="auto"/>
          <w:sz w:val="28"/>
          <w:lang w:val="en-US" w:eastAsia="zh-CN"/>
        </w:rPr>
        <w:br w:type="page"/>
      </w:r>
    </w:p>
    <w:p w14:paraId="354EDFC3">
      <w:pPr>
        <w:pStyle w:val="2"/>
        <w:numPr>
          <w:ilvl w:val="0"/>
          <w:numId w:val="1"/>
        </w:numPr>
        <w:bidi w:val="0"/>
        <w:ind w:left="0" w:leftChars="0" w:firstLine="0" w:firstLineChars="0"/>
        <w:rPr>
          <w:rFonts w:hint="default"/>
          <w:color w:val="auto"/>
          <w:lang w:val="en-US" w:eastAsia="zh-CN"/>
        </w:rPr>
      </w:pPr>
      <w:bookmarkStart w:id="15" w:name="_Toc22053"/>
      <w:r>
        <w:rPr>
          <w:rFonts w:hint="default"/>
          <w:color w:val="auto"/>
          <w:lang w:val="en-US" w:eastAsia="zh-CN"/>
        </w:rPr>
        <w:t>建设项目概况</w:t>
      </w:r>
      <w:bookmarkEnd w:id="15"/>
    </w:p>
    <w:p w14:paraId="723688CB">
      <w:pPr>
        <w:pStyle w:val="3"/>
        <w:bidi w:val="0"/>
        <w:rPr>
          <w:rFonts w:hint="default"/>
          <w:lang w:val="en-US" w:eastAsia="zh-CN"/>
        </w:rPr>
      </w:pPr>
      <w:bookmarkStart w:id="16" w:name="_Toc11123"/>
      <w:r>
        <w:rPr>
          <w:rFonts w:hint="eastAsia"/>
          <w:lang w:val="en-US" w:eastAsia="zh-CN"/>
        </w:rPr>
        <w:t>2.1 建设单位简介</w:t>
      </w:r>
      <w:bookmarkEnd w:id="16"/>
    </w:p>
    <w:p w14:paraId="4A5B3C7F">
      <w:pPr>
        <w:rPr>
          <w:rFonts w:hint="default"/>
          <w:lang w:val="en-US" w:eastAsia="zh-CN"/>
        </w:rPr>
      </w:pPr>
      <w:r>
        <w:rPr>
          <w:rFonts w:hint="default"/>
          <w:lang w:val="en-US" w:eastAsia="zh-CN"/>
        </w:rPr>
        <w:t>企业名称：江西省宜丰万国矿业有限公司</w:t>
      </w:r>
    </w:p>
    <w:p w14:paraId="61AC46CD">
      <w:pPr>
        <w:rPr>
          <w:rFonts w:hint="default"/>
          <w:lang w:val="en-US" w:eastAsia="zh-CN"/>
        </w:rPr>
      </w:pPr>
      <w:r>
        <w:rPr>
          <w:rFonts w:hint="default"/>
          <w:lang w:val="en-US" w:eastAsia="zh-CN"/>
        </w:rPr>
        <w:t>企业类型：有限责任公司</w:t>
      </w:r>
      <w:r>
        <w:rPr>
          <w:rFonts w:hint="eastAsia"/>
          <w:lang w:val="en-US" w:eastAsia="zh-CN"/>
        </w:rPr>
        <w:t>（港澳台法人独资）</w:t>
      </w:r>
    </w:p>
    <w:p w14:paraId="0CBE4ABA">
      <w:pPr>
        <w:rPr>
          <w:rFonts w:hint="default"/>
          <w:lang w:val="en-US" w:eastAsia="zh-CN"/>
        </w:rPr>
      </w:pPr>
      <w:r>
        <w:rPr>
          <w:rFonts w:hint="default"/>
          <w:lang w:val="en-US" w:eastAsia="zh-CN"/>
        </w:rPr>
        <w:t>项目地址：江西省宜春市宜丰县新庄镇</w:t>
      </w:r>
    </w:p>
    <w:p w14:paraId="652C090F">
      <w:pPr>
        <w:rPr>
          <w:rFonts w:hint="default"/>
          <w:lang w:val="en-US" w:eastAsia="zh-CN"/>
        </w:rPr>
      </w:pPr>
      <w:r>
        <w:rPr>
          <w:rFonts w:hint="default"/>
          <w:lang w:val="en-US" w:eastAsia="zh-CN"/>
        </w:rPr>
        <w:t>法定代表人：</w:t>
      </w:r>
      <w:r>
        <w:rPr>
          <w:rFonts w:hint="eastAsia"/>
          <w:lang w:val="en-US" w:eastAsia="zh-CN"/>
        </w:rPr>
        <w:t>邓志平</w:t>
      </w:r>
    </w:p>
    <w:p w14:paraId="0662C612">
      <w:pPr>
        <w:rPr>
          <w:rFonts w:hint="default"/>
          <w:lang w:val="en-US" w:eastAsia="zh-CN"/>
        </w:rPr>
      </w:pPr>
      <w:r>
        <w:rPr>
          <w:rFonts w:hint="default"/>
          <w:lang w:val="en-US" w:eastAsia="zh-CN"/>
        </w:rPr>
        <w:t>成立时间：20</w:t>
      </w:r>
      <w:r>
        <w:rPr>
          <w:rFonts w:hint="eastAsia"/>
          <w:lang w:val="en-US" w:eastAsia="zh-CN"/>
        </w:rPr>
        <w:t>03</w:t>
      </w:r>
      <w:r>
        <w:rPr>
          <w:rFonts w:hint="default"/>
          <w:lang w:val="en-US" w:eastAsia="zh-CN"/>
        </w:rPr>
        <w:t>年</w:t>
      </w:r>
      <w:r>
        <w:rPr>
          <w:rFonts w:hint="eastAsia"/>
          <w:lang w:val="en-US" w:eastAsia="zh-CN"/>
        </w:rPr>
        <w:t>11</w:t>
      </w:r>
      <w:r>
        <w:rPr>
          <w:rFonts w:hint="default"/>
          <w:lang w:val="en-US" w:eastAsia="zh-CN"/>
        </w:rPr>
        <w:t>月</w:t>
      </w:r>
      <w:r>
        <w:rPr>
          <w:rFonts w:hint="eastAsia"/>
          <w:lang w:val="en-US" w:eastAsia="zh-CN"/>
        </w:rPr>
        <w:t>26</w:t>
      </w:r>
      <w:r>
        <w:rPr>
          <w:rFonts w:hint="default"/>
          <w:lang w:val="en-US" w:eastAsia="zh-CN"/>
        </w:rPr>
        <w:t>日</w:t>
      </w:r>
    </w:p>
    <w:p w14:paraId="3A0FA444">
      <w:pPr>
        <w:rPr>
          <w:rFonts w:hint="default"/>
          <w:color w:val="auto"/>
          <w:lang w:val="en-US" w:eastAsia="zh-CN"/>
        </w:rPr>
      </w:pPr>
      <w:r>
        <w:rPr>
          <w:rFonts w:hint="default"/>
          <w:lang w:val="en-US" w:eastAsia="zh-CN"/>
        </w:rPr>
        <w:t>主要经营范围：铜、铅、锌、铁矿及其伴生矿的开采、选矿</w:t>
      </w:r>
      <w:r>
        <w:rPr>
          <w:rFonts w:hint="eastAsia"/>
          <w:lang w:val="en-US" w:eastAsia="zh-CN"/>
        </w:rPr>
        <w:t>，</w:t>
      </w:r>
      <w:r>
        <w:rPr>
          <w:rFonts w:hint="default"/>
          <w:lang w:val="en-US" w:eastAsia="zh-CN"/>
        </w:rPr>
        <w:t>上述矿产品和有色金属产品的销售。（依法须经批准的项目，经相关部门批准后方可开展经营活动）</w:t>
      </w:r>
    </w:p>
    <w:p w14:paraId="1757B3EE">
      <w:pPr>
        <w:rPr>
          <w:rFonts w:hint="default"/>
          <w:color w:val="auto"/>
          <w:lang w:val="en-US" w:eastAsia="zh-CN"/>
        </w:rPr>
      </w:pPr>
      <w:r>
        <w:rPr>
          <w:rFonts w:hint="default"/>
          <w:color w:val="auto"/>
          <w:lang w:val="en-US" w:eastAsia="zh-CN"/>
        </w:rPr>
        <w:t>统一社会信用代码：913609007542492406，详见附件。</w:t>
      </w:r>
    </w:p>
    <w:p w14:paraId="0B138F26">
      <w:pPr>
        <w:pStyle w:val="3"/>
        <w:bidi w:val="0"/>
        <w:rPr>
          <w:rFonts w:hint="default"/>
          <w:lang w:val="en-US" w:eastAsia="zh-CN"/>
        </w:rPr>
      </w:pPr>
      <w:bookmarkStart w:id="17" w:name="_Toc16198"/>
      <w:r>
        <w:rPr>
          <w:rFonts w:hint="default"/>
          <w:lang w:val="en-US" w:eastAsia="zh-CN"/>
        </w:rPr>
        <w:t>2.2 建设项目背景及概述</w:t>
      </w:r>
      <w:bookmarkEnd w:id="17"/>
    </w:p>
    <w:p w14:paraId="0157D17F">
      <w:pPr>
        <w:pStyle w:val="4"/>
        <w:bidi w:val="0"/>
        <w:rPr>
          <w:rFonts w:hint="eastAsia"/>
          <w:lang w:val="en-US" w:eastAsia="zh-CN"/>
        </w:rPr>
      </w:pPr>
      <w:bookmarkStart w:id="18" w:name="_Toc455"/>
      <w:r>
        <w:rPr>
          <w:rFonts w:hint="eastAsia"/>
          <w:lang w:val="en-US" w:eastAsia="zh-CN"/>
        </w:rPr>
        <w:t>2.2.1 项目背景</w:t>
      </w:r>
      <w:bookmarkEnd w:id="18"/>
    </w:p>
    <w:p w14:paraId="51405177">
      <w:pPr>
        <w:rPr>
          <w:rFonts w:hint="eastAsia"/>
          <w:lang w:val="en-US" w:eastAsia="zh-CN"/>
        </w:rPr>
      </w:pPr>
      <w:r>
        <w:rPr>
          <w:rFonts w:hint="eastAsia"/>
          <w:lang w:val="en-US" w:eastAsia="zh-CN"/>
        </w:rPr>
        <w:t>为解决内部车辆加油需求，满足矿山日常生产需求，新建内部撬装式加油站，本项目仅作为内部车辆（装载机、铲车、叉车、洒水车、运输货车、矿山设备等）加油自用，不对外经营。</w:t>
      </w:r>
    </w:p>
    <w:p w14:paraId="3BB4FBD2">
      <w:pPr>
        <w:pStyle w:val="4"/>
        <w:bidi w:val="0"/>
        <w:rPr>
          <w:rFonts w:hint="eastAsia"/>
          <w:lang w:val="en-US" w:eastAsia="zh-CN"/>
        </w:rPr>
      </w:pPr>
      <w:bookmarkStart w:id="19" w:name="_Toc21701"/>
      <w:r>
        <w:rPr>
          <w:rFonts w:hint="eastAsia"/>
          <w:lang w:val="en-US" w:eastAsia="zh-CN"/>
        </w:rPr>
        <w:t>2.2.2 项目概述</w:t>
      </w:r>
      <w:bookmarkEnd w:id="19"/>
    </w:p>
    <w:p w14:paraId="5C8786B7">
      <w:pPr>
        <w:rPr>
          <w:rFonts w:hint="default"/>
          <w:color w:val="auto"/>
          <w:lang w:val="en-US" w:eastAsia="zh-CN"/>
        </w:rPr>
      </w:pPr>
      <w:r>
        <w:rPr>
          <w:rFonts w:hint="default"/>
          <w:color w:val="auto"/>
          <w:lang w:val="en-US" w:eastAsia="zh-CN"/>
        </w:rPr>
        <w:t>项目名称：江西省宜丰万国矿业有限公司</w:t>
      </w:r>
      <w:r>
        <w:rPr>
          <w:rFonts w:hint="eastAsia"/>
          <w:color w:val="auto"/>
          <w:lang w:val="en-US" w:eastAsia="zh-CN"/>
        </w:rPr>
        <w:t>铜铁选矿厂技改工程（新建内部加油站项目）</w:t>
      </w:r>
    </w:p>
    <w:p w14:paraId="44FA085E">
      <w:pPr>
        <w:rPr>
          <w:rFonts w:hint="default"/>
          <w:color w:val="auto"/>
          <w:lang w:val="en-US" w:eastAsia="zh-CN"/>
        </w:rPr>
      </w:pPr>
      <w:r>
        <w:rPr>
          <w:rFonts w:hint="default"/>
          <w:color w:val="auto"/>
          <w:lang w:val="en-US" w:eastAsia="zh-CN"/>
        </w:rPr>
        <w:t>建设单位：江西省宜丰万国矿业有限公司</w:t>
      </w:r>
    </w:p>
    <w:p w14:paraId="167E2C97">
      <w:pPr>
        <w:rPr>
          <w:rFonts w:hint="default"/>
          <w:color w:val="auto"/>
          <w:lang w:val="en-US" w:eastAsia="zh-CN"/>
        </w:rPr>
      </w:pPr>
      <w:r>
        <w:rPr>
          <w:rFonts w:hint="default"/>
          <w:color w:val="auto"/>
          <w:lang w:val="en-US" w:eastAsia="zh-CN"/>
        </w:rPr>
        <w:t>建设性质：新建</w:t>
      </w:r>
    </w:p>
    <w:p w14:paraId="01C25003">
      <w:pPr>
        <w:rPr>
          <w:rFonts w:hint="default"/>
          <w:color w:val="auto"/>
          <w:lang w:val="en-US" w:eastAsia="zh-CN"/>
        </w:rPr>
      </w:pPr>
      <w:r>
        <w:rPr>
          <w:rFonts w:hint="default"/>
          <w:color w:val="auto"/>
          <w:lang w:val="en-US" w:eastAsia="zh-CN"/>
        </w:rPr>
        <w:t>项目建设地点：江西省宜丰县万国矿业有限公司矿场西北侧空地上</w:t>
      </w:r>
    </w:p>
    <w:p w14:paraId="53472559">
      <w:pPr>
        <w:rPr>
          <w:rFonts w:hint="default"/>
          <w:color w:val="auto"/>
          <w:lang w:val="en-US" w:eastAsia="zh-CN"/>
        </w:rPr>
      </w:pPr>
      <w:r>
        <w:rPr>
          <w:rFonts w:hint="default"/>
          <w:color w:val="auto"/>
          <w:lang w:val="en-US" w:eastAsia="zh-CN"/>
        </w:rPr>
        <w:t>项目建设总投资：</w:t>
      </w:r>
      <w:r>
        <w:rPr>
          <w:rFonts w:hint="eastAsia"/>
          <w:color w:val="auto"/>
          <w:lang w:val="en-US" w:eastAsia="zh-CN"/>
        </w:rPr>
        <w:t>2</w:t>
      </w:r>
      <w:r>
        <w:rPr>
          <w:rFonts w:hint="default"/>
          <w:color w:val="auto"/>
          <w:lang w:val="en-US" w:eastAsia="zh-CN"/>
        </w:rPr>
        <w:t>5万元</w:t>
      </w:r>
    </w:p>
    <w:p w14:paraId="26B5DD57">
      <w:pPr>
        <w:rPr>
          <w:rFonts w:hint="default"/>
          <w:color w:val="auto"/>
          <w:lang w:val="en-US" w:eastAsia="zh-CN"/>
        </w:rPr>
      </w:pPr>
      <w:r>
        <w:rPr>
          <w:rFonts w:hint="default"/>
          <w:color w:val="auto"/>
          <w:lang w:val="en-US" w:eastAsia="zh-CN"/>
        </w:rPr>
        <w:t>项目规模：新设置1台阻隔防爆橇装式加注装置，外形尺寸长8.3m，宽2.75m，高2.75m。装置含1台30m</w:t>
      </w:r>
      <w:r>
        <w:rPr>
          <w:rFonts w:hint="eastAsia"/>
          <w:color w:val="auto"/>
          <w:vertAlign w:val="superscript"/>
          <w:lang w:val="en-US" w:eastAsia="zh-CN"/>
        </w:rPr>
        <w:t>3</w:t>
      </w:r>
      <w:r>
        <w:rPr>
          <w:rFonts w:hint="default"/>
          <w:color w:val="auto"/>
          <w:lang w:val="en-US" w:eastAsia="zh-CN"/>
        </w:rPr>
        <w:t>0#柴油双壁储罐，直径2.5m，长6.4m，设置2个隔仓，每个隔仓15m</w:t>
      </w:r>
      <w:r>
        <w:rPr>
          <w:rFonts w:hint="eastAsia"/>
          <w:color w:val="auto"/>
          <w:vertAlign w:val="superscript"/>
          <w:lang w:val="en-US" w:eastAsia="zh-CN"/>
        </w:rPr>
        <w:t>3</w:t>
      </w:r>
      <w:r>
        <w:rPr>
          <w:rFonts w:hint="default"/>
          <w:color w:val="auto"/>
          <w:lang w:val="en-US" w:eastAsia="zh-CN"/>
        </w:rPr>
        <w:t>，配置1台卸油泵，1台加油机，购进的0#柴油闪点＞60℃。自用撬装加油装置四周设置混凝土防护围堰。</w:t>
      </w:r>
    </w:p>
    <w:p w14:paraId="10ECF641">
      <w:pPr>
        <w:rPr>
          <w:rFonts w:hint="default"/>
          <w:color w:val="auto"/>
          <w:lang w:val="en-US" w:eastAsia="zh-CN"/>
        </w:rPr>
      </w:pPr>
      <w:r>
        <w:rPr>
          <w:rFonts w:hint="default"/>
          <w:color w:val="auto"/>
          <w:lang w:val="en-US" w:eastAsia="zh-CN"/>
        </w:rPr>
        <w:t>项目设计单位：北京慎恒工程设计有限公司，化工石化医药行业（化工工程）专业甲级，资质证书见附件。</w:t>
      </w:r>
    </w:p>
    <w:p w14:paraId="1543EFBD">
      <w:pPr>
        <w:rPr>
          <w:rFonts w:hint="default"/>
          <w:color w:val="auto"/>
          <w:lang w:val="en-US" w:eastAsia="zh-CN"/>
        </w:rPr>
      </w:pPr>
      <w:r>
        <w:rPr>
          <w:rFonts w:hint="default"/>
          <w:color w:val="auto"/>
          <w:lang w:val="en-US" w:eastAsia="zh-CN"/>
        </w:rPr>
        <w:t>项目安装单位：山东建投重工有限公司，压力容器制造（含安装、修理、改造）。</w:t>
      </w:r>
    </w:p>
    <w:p w14:paraId="2CDA4634">
      <w:pPr>
        <w:rPr>
          <w:rFonts w:hint="default"/>
          <w:color w:val="auto"/>
          <w:lang w:val="en-US" w:eastAsia="zh-CN"/>
        </w:rPr>
      </w:pPr>
      <w:r>
        <w:rPr>
          <w:rFonts w:hint="default"/>
          <w:color w:val="auto"/>
          <w:lang w:val="en-US" w:eastAsia="zh-CN"/>
        </w:rPr>
        <w:t>项目现场施工单位：山东建投重工有限公司，石油化工工程施工总承包贰级。</w:t>
      </w:r>
    </w:p>
    <w:p w14:paraId="5C84F96F">
      <w:pPr>
        <w:rPr>
          <w:rFonts w:hint="default"/>
          <w:color w:val="auto"/>
          <w:lang w:val="en-US" w:eastAsia="zh-CN"/>
        </w:rPr>
      </w:pPr>
      <w:r>
        <w:rPr>
          <w:rFonts w:hint="default"/>
          <w:color w:val="auto"/>
          <w:lang w:val="en-US" w:eastAsia="zh-CN"/>
        </w:rPr>
        <w:t>根据《建设工程监理范围和规模标准规定》及相关政策文件，总投资3000万元以下，建筑面积</w:t>
      </w:r>
      <w:r>
        <w:rPr>
          <w:rFonts w:hint="eastAsia"/>
          <w:color w:val="auto"/>
          <w:lang w:val="en-US" w:eastAsia="zh-CN"/>
        </w:rPr>
        <w:t>≤</w:t>
      </w:r>
      <w:r>
        <w:rPr>
          <w:rFonts w:hint="default"/>
          <w:color w:val="auto"/>
          <w:lang w:val="en-US" w:eastAsia="zh-CN"/>
        </w:rPr>
        <w:t>10000平方米，或建筑高度</w:t>
      </w:r>
      <w:r>
        <w:rPr>
          <w:rFonts w:hint="eastAsia"/>
          <w:color w:val="auto"/>
          <w:lang w:val="en-US" w:eastAsia="zh-CN"/>
        </w:rPr>
        <w:t>≤</w:t>
      </w:r>
      <w:r>
        <w:rPr>
          <w:rFonts w:hint="default"/>
          <w:color w:val="auto"/>
          <w:lang w:val="en-US" w:eastAsia="zh-CN"/>
        </w:rPr>
        <w:t>24米，且功能单一、技术要求简单的工程可不实行监理。</w:t>
      </w:r>
    </w:p>
    <w:p w14:paraId="299F880D">
      <w:pPr>
        <w:pStyle w:val="4"/>
        <w:bidi w:val="0"/>
        <w:rPr>
          <w:color w:val="auto"/>
        </w:rPr>
      </w:pPr>
      <w:bookmarkStart w:id="20" w:name="_Toc3832"/>
      <w:r>
        <w:rPr>
          <w:rFonts w:hint="eastAsia"/>
          <w:lang w:val="en-US" w:eastAsia="zh-CN"/>
        </w:rPr>
        <w:t>2.</w:t>
      </w:r>
      <w:r>
        <w:rPr>
          <w:rFonts w:hint="eastAsia"/>
          <w:color w:val="auto"/>
          <w:lang w:val="en-US" w:eastAsia="zh-CN"/>
        </w:rPr>
        <w:t>2.3 项目“三同时”情况</w:t>
      </w:r>
      <w:bookmarkEnd w:id="20"/>
    </w:p>
    <w:p w14:paraId="51F45788">
      <w:pPr>
        <w:rPr>
          <w:rFonts w:hint="default" w:eastAsia="宋体"/>
          <w:color w:val="auto"/>
          <w:lang w:val="en-US" w:eastAsia="zh-CN"/>
        </w:rPr>
      </w:pPr>
      <w:r>
        <w:rPr>
          <w:rFonts w:hint="eastAsia"/>
          <w:color w:val="auto"/>
          <w:lang w:val="en-US" w:eastAsia="zh-CN"/>
        </w:rPr>
        <w:t>立项备案：万国黄金集团有限公司，万国黄金批字〔2025〕02号。</w:t>
      </w:r>
    </w:p>
    <w:p w14:paraId="5A75F940">
      <w:pPr>
        <w:rPr>
          <w:rFonts w:hint="default"/>
          <w:color w:val="auto"/>
          <w:lang w:val="en-US" w:eastAsia="zh-CN"/>
        </w:rPr>
      </w:pPr>
      <w:r>
        <w:rPr>
          <w:rFonts w:hint="default"/>
          <w:color w:val="auto"/>
          <w:lang w:val="en-US" w:eastAsia="zh-CN"/>
        </w:rPr>
        <w:t>安全条件评价：该项目安全条件评价由江西省宜丰万国矿业有限公司自行编制，新建内部加油站属于铜铁选矿厂技改工程其中一部分，未单独进行安全条件评价，包含在铜铁选矿厂技改工程安全条件评价之中。</w:t>
      </w:r>
    </w:p>
    <w:p w14:paraId="03DE89D7">
      <w:pPr>
        <w:rPr>
          <w:rFonts w:hint="default"/>
          <w:lang w:val="en-US" w:eastAsia="zh-CN"/>
        </w:rPr>
      </w:pPr>
      <w:r>
        <w:rPr>
          <w:rFonts w:hint="default"/>
          <w:color w:val="auto"/>
          <w:lang w:val="en-US" w:eastAsia="zh-CN"/>
        </w:rPr>
        <w:t>安全设施设计：由北京慎恒工程设计有限公司编制，于202</w:t>
      </w:r>
      <w:r>
        <w:rPr>
          <w:rFonts w:hint="eastAsia"/>
          <w:color w:val="auto"/>
          <w:lang w:val="en-US" w:eastAsia="zh-CN"/>
        </w:rPr>
        <w:t>5</w:t>
      </w:r>
      <w:r>
        <w:rPr>
          <w:rFonts w:hint="default"/>
          <w:color w:val="auto"/>
          <w:lang w:val="en-US" w:eastAsia="zh-CN"/>
        </w:rPr>
        <w:t>年</w:t>
      </w:r>
      <w:r>
        <w:rPr>
          <w:rFonts w:hint="eastAsia"/>
          <w:color w:val="auto"/>
          <w:lang w:val="en-US" w:eastAsia="zh-CN"/>
        </w:rPr>
        <w:t>7</w:t>
      </w:r>
      <w:r>
        <w:rPr>
          <w:rFonts w:hint="default"/>
          <w:color w:val="auto"/>
          <w:lang w:val="en-US" w:eastAsia="zh-CN"/>
        </w:rPr>
        <w:t>月</w:t>
      </w:r>
      <w:r>
        <w:rPr>
          <w:rFonts w:hint="eastAsia"/>
          <w:color w:val="auto"/>
          <w:lang w:val="en-US" w:eastAsia="zh-CN"/>
        </w:rPr>
        <w:t>24</w:t>
      </w:r>
      <w:r>
        <w:rPr>
          <w:rFonts w:hint="default"/>
          <w:color w:val="auto"/>
          <w:lang w:val="en-US" w:eastAsia="zh-CN"/>
        </w:rPr>
        <w:t>日组织专家组评审并取得专家组评审意见，专家组评审意见见附件。</w:t>
      </w:r>
    </w:p>
    <w:p w14:paraId="4113ED7D">
      <w:pPr>
        <w:pStyle w:val="3"/>
        <w:bidi w:val="0"/>
        <w:rPr>
          <w:rFonts w:hint="default"/>
          <w:lang w:val="en-US" w:eastAsia="zh-CN"/>
        </w:rPr>
      </w:pPr>
      <w:bookmarkStart w:id="21" w:name="_Toc32455"/>
      <w:r>
        <w:rPr>
          <w:rFonts w:hint="default"/>
          <w:lang w:val="en-US" w:eastAsia="zh-CN"/>
        </w:rPr>
        <w:t>2.3 建设项目选址概况</w:t>
      </w:r>
      <w:bookmarkEnd w:id="21"/>
    </w:p>
    <w:p w14:paraId="3D5536B9">
      <w:pPr>
        <w:pStyle w:val="4"/>
        <w:bidi w:val="0"/>
        <w:rPr>
          <w:rFonts w:hint="default"/>
          <w:lang w:val="en-US" w:eastAsia="zh-CN"/>
        </w:rPr>
      </w:pPr>
      <w:bookmarkStart w:id="22" w:name="_Toc27729"/>
      <w:r>
        <w:rPr>
          <w:rFonts w:hint="default"/>
          <w:lang w:val="en-US" w:eastAsia="zh-CN"/>
        </w:rPr>
        <w:t>2.3.1 自然条件</w:t>
      </w:r>
      <w:bookmarkEnd w:id="22"/>
    </w:p>
    <w:p w14:paraId="3B5110A0">
      <w:pPr>
        <w:rPr>
          <w:rFonts w:hint="default"/>
          <w:lang w:val="en-US" w:eastAsia="zh-CN"/>
        </w:rPr>
      </w:pPr>
      <w:r>
        <w:rPr>
          <w:rFonts w:hint="default"/>
          <w:lang w:val="en-US" w:eastAsia="zh-CN"/>
        </w:rPr>
        <w:t>1</w:t>
      </w:r>
      <w:r>
        <w:rPr>
          <w:rFonts w:hint="eastAsia"/>
          <w:lang w:val="en-US" w:eastAsia="zh-CN"/>
        </w:rPr>
        <w:t xml:space="preserve">. </w:t>
      </w:r>
      <w:r>
        <w:rPr>
          <w:rFonts w:hint="default"/>
          <w:lang w:val="en-US" w:eastAsia="zh-CN"/>
        </w:rPr>
        <w:t>地形、地貌</w:t>
      </w:r>
    </w:p>
    <w:p w14:paraId="25BAEAF6">
      <w:pPr>
        <w:rPr>
          <w:rFonts w:hint="default"/>
          <w:lang w:val="en-US" w:eastAsia="zh-CN"/>
        </w:rPr>
      </w:pPr>
      <w:r>
        <w:rPr>
          <w:rFonts w:hint="default"/>
          <w:lang w:val="en-US" w:eastAsia="zh-CN"/>
        </w:rPr>
        <w:t>宜丰县境内诸山属九岭山脉的余脉。九岭山脉系东西向构造体系褶皱～断层山，县境部分为该山的中段南缘，北起找桥沿县境西北部伸入铜鼓、万载两县边界，海拔500～1480</w:t>
      </w:r>
      <w:r>
        <w:rPr>
          <w:rFonts w:hint="eastAsia"/>
          <w:lang w:val="en-US" w:eastAsia="zh-CN"/>
        </w:rPr>
        <w:t>m</w:t>
      </w:r>
      <w:r>
        <w:rPr>
          <w:rFonts w:hint="default"/>
          <w:lang w:val="en-US" w:eastAsia="zh-CN"/>
        </w:rPr>
        <w:t>，山峰高程多达千米以上，主峰麻姑尖；自找桥沿县境东北部伸入奉新、高安两县边界的是九岭山脉的南支，海拔500～700</w:t>
      </w:r>
      <w:r>
        <w:rPr>
          <w:rFonts w:hint="eastAsia"/>
          <w:lang w:val="en-US" w:eastAsia="zh-CN"/>
        </w:rPr>
        <w:t>m</w:t>
      </w:r>
      <w:r>
        <w:rPr>
          <w:rFonts w:hint="default"/>
          <w:lang w:val="en-US" w:eastAsia="zh-CN"/>
        </w:rPr>
        <w:t>，山峰高程多达700</w:t>
      </w:r>
      <w:r>
        <w:rPr>
          <w:rFonts w:hint="eastAsia"/>
          <w:lang w:val="en-US" w:eastAsia="zh-CN"/>
        </w:rPr>
        <w:t>m</w:t>
      </w:r>
      <w:r>
        <w:rPr>
          <w:rFonts w:hint="default"/>
          <w:lang w:val="en-US" w:eastAsia="zh-CN"/>
        </w:rPr>
        <w:t>以上，主峰古阳寨；从袁坑口～彭源～北坑一线以南至芳溪～村前一线以北为九岭山脉与宜丰盆地的过渡地带，海拔200～300</w:t>
      </w:r>
      <w:r>
        <w:rPr>
          <w:rFonts w:hint="eastAsia"/>
          <w:lang w:val="en-US" w:eastAsia="zh-CN"/>
        </w:rPr>
        <w:t>m</w:t>
      </w:r>
      <w:r>
        <w:rPr>
          <w:rFonts w:hint="default"/>
          <w:lang w:val="en-US" w:eastAsia="zh-CN"/>
        </w:rPr>
        <w:t>，小山峰密布，高程均在300</w:t>
      </w:r>
      <w:r>
        <w:rPr>
          <w:rFonts w:hint="eastAsia"/>
          <w:lang w:val="en-US" w:eastAsia="zh-CN"/>
        </w:rPr>
        <w:t>m</w:t>
      </w:r>
      <w:r>
        <w:rPr>
          <w:rFonts w:hint="default"/>
          <w:lang w:val="en-US" w:eastAsia="zh-CN"/>
        </w:rPr>
        <w:t>左右，主峰不明显。</w:t>
      </w:r>
    </w:p>
    <w:p w14:paraId="1D009022">
      <w:pPr>
        <w:rPr>
          <w:rFonts w:hint="default"/>
          <w:lang w:val="en-US" w:eastAsia="zh-CN"/>
        </w:rPr>
      </w:pPr>
      <w:r>
        <w:rPr>
          <w:rFonts w:hint="default"/>
          <w:lang w:val="en-US" w:eastAsia="zh-CN"/>
        </w:rPr>
        <w:t>宜丰县境南部（芳溪～村前公路线以南）为宜丰盆地，小丘起伏一般海拔50～100</w:t>
      </w:r>
      <w:r>
        <w:rPr>
          <w:rFonts w:hint="eastAsia"/>
          <w:lang w:val="en-US" w:eastAsia="zh-CN"/>
        </w:rPr>
        <w:t>m</w:t>
      </w:r>
      <w:r>
        <w:rPr>
          <w:rFonts w:hint="default"/>
          <w:lang w:val="en-US" w:eastAsia="zh-CN"/>
        </w:rPr>
        <w:t>，惟石市镇楼下境内毗岗尖突起，海拔182</w:t>
      </w:r>
      <w:r>
        <w:rPr>
          <w:rFonts w:hint="eastAsia"/>
          <w:lang w:val="en-US" w:eastAsia="zh-CN"/>
        </w:rPr>
        <w:t>m</w:t>
      </w:r>
      <w:r>
        <w:rPr>
          <w:rFonts w:hint="default"/>
          <w:lang w:val="en-US" w:eastAsia="zh-CN"/>
        </w:rPr>
        <w:t>。县内千米以上的高山有30座。</w:t>
      </w:r>
    </w:p>
    <w:p w14:paraId="4D252FC9">
      <w:pPr>
        <w:rPr>
          <w:rFonts w:hint="default"/>
          <w:lang w:val="en-US" w:eastAsia="zh-CN"/>
        </w:rPr>
      </w:pPr>
      <w:r>
        <w:rPr>
          <w:rFonts w:hint="default"/>
          <w:lang w:val="en-US" w:eastAsia="zh-CN"/>
        </w:rPr>
        <w:t>宜丰县处于九岭隆起和萍乐凹陷带的复合部分。构造体系以东西向、北东向、北北东向为主。县内出露的地层以前震旦系、白垩系和第四系为主，石炭系、二迭系、三叠系、侏罗系。</w:t>
      </w:r>
    </w:p>
    <w:p w14:paraId="3DBF4CFA">
      <w:pPr>
        <w:rPr>
          <w:rFonts w:hint="default"/>
          <w:lang w:val="en-US" w:eastAsia="zh-CN"/>
        </w:rPr>
      </w:pPr>
      <w:r>
        <w:rPr>
          <w:rFonts w:hint="default"/>
          <w:lang w:val="en-US" w:eastAsia="zh-CN"/>
        </w:rPr>
        <w:t>2</w:t>
      </w:r>
      <w:r>
        <w:rPr>
          <w:rFonts w:hint="eastAsia"/>
          <w:lang w:val="en-US" w:eastAsia="zh-CN"/>
        </w:rPr>
        <w:t xml:space="preserve">. </w:t>
      </w:r>
      <w:r>
        <w:rPr>
          <w:rFonts w:hint="default"/>
          <w:lang w:val="en-US" w:eastAsia="zh-CN"/>
        </w:rPr>
        <w:t>气候</w:t>
      </w:r>
    </w:p>
    <w:p w14:paraId="3399931C">
      <w:pPr>
        <w:rPr>
          <w:rFonts w:hint="default"/>
          <w:lang w:val="en-US" w:eastAsia="zh-CN"/>
        </w:rPr>
      </w:pPr>
      <w:r>
        <w:rPr>
          <w:rFonts w:hint="default"/>
          <w:lang w:val="en-US" w:eastAsia="zh-CN"/>
        </w:rPr>
        <w:t>宜丰县春、夏、秋、冬四季分明，但各季持续时间却差别很大。冬季时间最长，平均为122天；夏季次之，平均为120天；春季第三，平均为62天；秋季时间最短，平均为61天。春季年降水量346.6毫米，夏季降水量586.5毫米。气温在35℃以上，极端最高气温达到41.4℃。年平均气温17.2℃，属中亚热带温暖湿润气候区。</w:t>
      </w:r>
    </w:p>
    <w:p w14:paraId="39ADA0CC">
      <w:pPr>
        <w:rPr>
          <w:rFonts w:hint="default"/>
          <w:lang w:val="en-US" w:eastAsia="zh-CN"/>
        </w:rPr>
      </w:pPr>
      <w:r>
        <w:rPr>
          <w:rFonts w:hint="default"/>
          <w:lang w:val="en-US" w:eastAsia="zh-CN"/>
        </w:rPr>
        <w:t>3</w:t>
      </w:r>
      <w:r>
        <w:rPr>
          <w:rFonts w:hint="eastAsia"/>
          <w:lang w:val="en-US" w:eastAsia="zh-CN"/>
        </w:rPr>
        <w:t xml:space="preserve">. </w:t>
      </w:r>
      <w:r>
        <w:rPr>
          <w:rFonts w:hint="default"/>
          <w:lang w:val="en-US" w:eastAsia="zh-CN"/>
        </w:rPr>
        <w:t>地震</w:t>
      </w:r>
    </w:p>
    <w:p w14:paraId="75E02284">
      <w:pPr>
        <w:rPr>
          <w:rFonts w:hint="default"/>
          <w:lang w:val="en-US" w:eastAsia="zh-CN"/>
        </w:rPr>
      </w:pPr>
      <w:r>
        <w:rPr>
          <w:rFonts w:hint="default"/>
          <w:lang w:val="en-US" w:eastAsia="zh-CN"/>
        </w:rPr>
        <w:t>根据《中国地震动参数区划图》（GB18306-2015），本工程所在区域抗震设防烈度为6度。根据《建筑工程抗震设防分类标准》（GB50223-2008），本项目建、构筑物按抗震烈度6度设防。</w:t>
      </w:r>
    </w:p>
    <w:p w14:paraId="040B3232">
      <w:pPr>
        <w:pStyle w:val="4"/>
        <w:bidi w:val="0"/>
        <w:rPr>
          <w:rFonts w:hint="default"/>
          <w:lang w:val="en-US" w:eastAsia="zh-CN"/>
        </w:rPr>
      </w:pPr>
      <w:bookmarkStart w:id="23" w:name="_Toc25663"/>
      <w:r>
        <w:rPr>
          <w:rFonts w:hint="default"/>
          <w:lang w:val="en-US" w:eastAsia="zh-CN"/>
        </w:rPr>
        <w:t>2.3.2 周边环境</w:t>
      </w:r>
      <w:bookmarkEnd w:id="23"/>
    </w:p>
    <w:p w14:paraId="5814E5D6">
      <w:pPr>
        <w:rPr>
          <w:rFonts w:hint="default"/>
          <w:lang w:val="en-US" w:eastAsia="zh-CN"/>
        </w:rPr>
      </w:pPr>
      <w:r>
        <w:rPr>
          <w:rFonts w:hint="default"/>
          <w:lang w:val="en-US" w:eastAsia="zh-CN"/>
        </w:rPr>
        <w:t>本项目位于江西省宜丰万国矿业有限公司西北侧空地，自用撬装加油装置东西向布置。东</w:t>
      </w:r>
      <w:r>
        <w:rPr>
          <w:rFonts w:hint="default"/>
          <w:color w:val="auto"/>
          <w:lang w:val="en-US" w:eastAsia="zh-CN"/>
        </w:rPr>
        <w:t>侧为</w:t>
      </w:r>
      <w:r>
        <w:rPr>
          <w:rFonts w:hint="eastAsia"/>
          <w:color w:val="auto"/>
          <w:lang w:val="en-US" w:eastAsia="zh-CN"/>
        </w:rPr>
        <w:t>废弃房屋、</w:t>
      </w:r>
      <w:r>
        <w:rPr>
          <w:rFonts w:hint="default"/>
          <w:color w:val="auto"/>
          <w:lang w:val="en-US" w:eastAsia="zh-CN"/>
        </w:rPr>
        <w:t>水池、</w:t>
      </w:r>
      <w:r>
        <w:rPr>
          <w:rFonts w:hint="default"/>
          <w:lang w:val="en-US" w:eastAsia="zh-CN"/>
        </w:rPr>
        <w:t>卷扬机房，南侧为厂区道路，西侧为矿堆场、篮球场，北侧为围墙，围墙外为农田。</w:t>
      </w:r>
    </w:p>
    <w:p w14:paraId="02BA2B6C">
      <w:pPr>
        <w:rPr>
          <w:rFonts w:hint="default"/>
          <w:lang w:val="en-US" w:eastAsia="zh-CN"/>
        </w:rPr>
      </w:pPr>
      <w:r>
        <w:rPr>
          <w:rFonts w:hint="default"/>
          <w:lang w:val="en-US" w:eastAsia="zh-CN"/>
        </w:rPr>
        <w:t>本项目周边100m范围内无供应水源、水厂及水源保护区；无学校、医院、影剧院、体育场（馆）；无居住集中区、商业中心等人员密集区域；无湖泊、风景名胜区和自然保护区。5km范围内无军事禁区、军事管理区。1km范围内无法律、行政法规规定保护的其他区域。</w:t>
      </w:r>
    </w:p>
    <w:p w14:paraId="09054F41">
      <w:pPr>
        <w:ind w:left="0" w:leftChars="0" w:firstLine="0" w:firstLineChars="0"/>
        <w:jc w:val="center"/>
        <w:rPr>
          <w:rFonts w:hint="default"/>
          <w:lang w:val="en-US" w:eastAsia="zh-CN"/>
        </w:rPr>
      </w:pPr>
      <w:r>
        <w:drawing>
          <wp:inline distT="0" distB="0" distL="114300" distR="114300">
            <wp:extent cx="4319905" cy="3291205"/>
            <wp:effectExtent l="0" t="0" r="4445" b="4445"/>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9"/>
                    <a:stretch>
                      <a:fillRect/>
                    </a:stretch>
                  </pic:blipFill>
                  <pic:spPr>
                    <a:xfrm>
                      <a:off x="0" y="0"/>
                      <a:ext cx="4319905" cy="3291205"/>
                    </a:xfrm>
                    <a:prstGeom prst="rect">
                      <a:avLst/>
                    </a:prstGeom>
                    <a:noFill/>
                    <a:ln>
                      <a:noFill/>
                    </a:ln>
                  </pic:spPr>
                </pic:pic>
              </a:graphicData>
            </a:graphic>
          </wp:inline>
        </w:drawing>
      </w:r>
    </w:p>
    <w:p w14:paraId="2D528AA6">
      <w:pPr>
        <w:ind w:left="0" w:leftChars="0" w:firstLine="0" w:firstLineChars="0"/>
        <w:jc w:val="center"/>
        <w:rPr>
          <w:rFonts w:hint="default"/>
          <w:lang w:val="en-US" w:eastAsia="zh-CN"/>
        </w:rPr>
      </w:pPr>
      <w:r>
        <w:rPr>
          <w:rFonts w:hint="default"/>
          <w:lang w:val="en-US" w:eastAsia="zh-CN"/>
        </w:rPr>
        <w:t>图2.3-1 项目地理位置卫星图</w:t>
      </w:r>
    </w:p>
    <w:p w14:paraId="28552E08">
      <w:pPr>
        <w:rPr>
          <w:rFonts w:hint="default"/>
          <w:lang w:val="en-US" w:eastAsia="zh-CN"/>
        </w:rPr>
      </w:pPr>
      <w:r>
        <w:rPr>
          <w:rFonts w:hint="default"/>
          <w:lang w:val="en-US" w:eastAsia="zh-CN"/>
        </w:rPr>
        <w:t>项目周边实际情况见表2.3-1。</w:t>
      </w:r>
    </w:p>
    <w:p w14:paraId="27FDBC63">
      <w:pPr>
        <w:ind w:left="0" w:leftChars="0" w:firstLine="0" w:firstLineChars="0"/>
        <w:jc w:val="center"/>
        <w:rPr>
          <w:rFonts w:hint="default"/>
          <w:lang w:val="en-US" w:eastAsia="zh-CN"/>
        </w:rPr>
      </w:pPr>
      <w:r>
        <w:rPr>
          <w:rFonts w:hint="default"/>
          <w:lang w:val="en-US" w:eastAsia="zh-CN"/>
        </w:rPr>
        <w:t>表2.3-1</w:t>
      </w:r>
      <w:r>
        <w:rPr>
          <w:rFonts w:hint="eastAsia"/>
          <w:lang w:val="en-US" w:eastAsia="zh-CN"/>
        </w:rPr>
        <w:t xml:space="preserve"> 项目周边环境距离表</w:t>
      </w:r>
    </w:p>
    <w:tbl>
      <w:tblPr>
        <w:tblStyle w:val="20"/>
        <w:tblW w:w="4995"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943"/>
        <w:gridCol w:w="2906"/>
        <w:gridCol w:w="1847"/>
        <w:gridCol w:w="2663"/>
        <w:gridCol w:w="920"/>
      </w:tblGrid>
      <w:tr w14:paraId="3FD125F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66" w:hRule="atLeast"/>
          <w:jc w:val="center"/>
        </w:trPr>
        <w:tc>
          <w:tcPr>
            <w:tcW w:w="2074" w:type="pct"/>
            <w:gridSpan w:val="2"/>
            <w:vMerge w:val="restart"/>
            <w:noWrap w:val="0"/>
            <w:vAlign w:val="center"/>
          </w:tcPr>
          <w:p w14:paraId="16A7B94F">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bCs/>
                <w:color w:val="auto"/>
                <w:sz w:val="21"/>
                <w:szCs w:val="21"/>
                <w:lang w:val="en-US" w:eastAsia="zh-CN"/>
              </w:rPr>
              <w:t>站外建（构）筑物</w:t>
            </w:r>
          </w:p>
        </w:tc>
        <w:tc>
          <w:tcPr>
            <w:tcW w:w="2430" w:type="pct"/>
            <w:gridSpan w:val="2"/>
            <w:noWrap w:val="0"/>
            <w:vAlign w:val="center"/>
          </w:tcPr>
          <w:p w14:paraId="4495BFB2">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撬</w:t>
            </w:r>
            <w:r>
              <w:rPr>
                <w:rFonts w:hint="default" w:ascii="Times New Roman" w:hAnsi="Times New Roman" w:eastAsia="宋体" w:cs="Times New Roman"/>
                <w:color w:val="auto"/>
                <w:sz w:val="21"/>
                <w:szCs w:val="21"/>
              </w:rPr>
              <w:t>装加油装置</w:t>
            </w:r>
          </w:p>
        </w:tc>
        <w:tc>
          <w:tcPr>
            <w:tcW w:w="495" w:type="pct"/>
            <w:vMerge w:val="restart"/>
            <w:noWrap w:val="0"/>
            <w:vAlign w:val="center"/>
          </w:tcPr>
          <w:p w14:paraId="2DB96F1A">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bCs/>
                <w:color w:val="auto"/>
                <w:sz w:val="21"/>
                <w:szCs w:val="21"/>
              </w:rPr>
              <w:t>规范符合性</w:t>
            </w:r>
          </w:p>
        </w:tc>
      </w:tr>
      <w:tr w14:paraId="17CE94D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74" w:type="pct"/>
            <w:gridSpan w:val="2"/>
            <w:vMerge w:val="continue"/>
            <w:noWrap w:val="0"/>
            <w:vAlign w:val="center"/>
          </w:tcPr>
          <w:p w14:paraId="09309A32">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rPr>
            </w:pPr>
          </w:p>
        </w:tc>
        <w:tc>
          <w:tcPr>
            <w:tcW w:w="2430" w:type="pct"/>
            <w:gridSpan w:val="2"/>
            <w:noWrap w:val="0"/>
            <w:vAlign w:val="center"/>
          </w:tcPr>
          <w:p w14:paraId="332ED661">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V=</w:t>
            </w:r>
            <w:r>
              <w:rPr>
                <w:rFonts w:hint="default" w:ascii="Times New Roman" w:hAnsi="Times New Roman" w:eastAsia="宋体" w:cs="Times New Roman"/>
                <w:color w:val="auto"/>
                <w:sz w:val="21"/>
                <w:szCs w:val="21"/>
                <w:lang w:val="en-US" w:eastAsia="zh-CN"/>
              </w:rPr>
              <w:t>15</w:t>
            </w:r>
            <w:r>
              <w:rPr>
                <w:rFonts w:hint="default" w:ascii="Times New Roman" w:hAnsi="Times New Roman" w:eastAsia="宋体" w:cs="Times New Roman"/>
                <w:color w:val="auto"/>
                <w:sz w:val="21"/>
                <w:szCs w:val="21"/>
              </w:rPr>
              <w:t>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vertAlign w:val="baseline"/>
                <w:lang w:eastAsia="zh-CN"/>
              </w:rPr>
              <w:t>（</w:t>
            </w:r>
            <w:r>
              <w:rPr>
                <w:rFonts w:hint="default" w:ascii="Times New Roman" w:hAnsi="Times New Roman" w:eastAsia="宋体" w:cs="Times New Roman"/>
                <w:color w:val="auto"/>
                <w:sz w:val="21"/>
                <w:szCs w:val="21"/>
                <w:vertAlign w:val="baseline"/>
                <w:lang w:val="en-US" w:eastAsia="zh-CN"/>
              </w:rPr>
              <w:t>柴油折半计总容积</w:t>
            </w:r>
            <w:r>
              <w:rPr>
                <w:rFonts w:hint="default" w:ascii="Times New Roman" w:hAnsi="Times New Roman" w:eastAsia="宋体" w:cs="Times New Roman"/>
                <w:color w:val="auto"/>
                <w:sz w:val="21"/>
                <w:szCs w:val="21"/>
                <w:vertAlign w:val="baseline"/>
                <w:lang w:eastAsia="zh-CN"/>
              </w:rPr>
              <w:t>）</w:t>
            </w:r>
          </w:p>
        </w:tc>
        <w:tc>
          <w:tcPr>
            <w:tcW w:w="495" w:type="pct"/>
            <w:vMerge w:val="continue"/>
            <w:noWrap w:val="0"/>
            <w:vAlign w:val="center"/>
          </w:tcPr>
          <w:p w14:paraId="0BF381C2">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rPr>
            </w:pPr>
          </w:p>
        </w:tc>
      </w:tr>
      <w:tr w14:paraId="6C1E8F4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07" w:hRule="atLeast"/>
          <w:jc w:val="center"/>
        </w:trPr>
        <w:tc>
          <w:tcPr>
            <w:tcW w:w="2074" w:type="pct"/>
            <w:gridSpan w:val="2"/>
            <w:vMerge w:val="continue"/>
            <w:noWrap w:val="0"/>
            <w:vAlign w:val="center"/>
          </w:tcPr>
          <w:p w14:paraId="5A3CBD6E">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rPr>
            </w:pPr>
          </w:p>
        </w:tc>
        <w:tc>
          <w:tcPr>
            <w:tcW w:w="995" w:type="pct"/>
            <w:noWrap w:val="0"/>
            <w:vAlign w:val="center"/>
          </w:tcPr>
          <w:p w14:paraId="426215E7">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ascii="Times New Roman" w:hAnsi="Times New Roman" w:eastAsia="宋体" w:cs="Times New Roman"/>
                <w:b/>
                <w:bCs/>
                <w:color w:val="auto"/>
                <w:kern w:val="18"/>
                <w:sz w:val="21"/>
                <w:szCs w:val="21"/>
                <w:lang w:val="en-US" w:eastAsia="zh-CN" w:bidi="ar-SA"/>
              </w:rPr>
            </w:pPr>
            <w:r>
              <w:rPr>
                <w:rFonts w:hint="default" w:ascii="Times New Roman" w:hAnsi="Times New Roman" w:eastAsia="宋体" w:cs="Times New Roman"/>
                <w:b/>
                <w:bCs/>
                <w:color w:val="auto"/>
                <w:sz w:val="21"/>
                <w:szCs w:val="21"/>
                <w:lang w:val="en-US" w:eastAsia="zh-CN"/>
              </w:rPr>
              <w:t>标准间距（m）</w:t>
            </w:r>
          </w:p>
        </w:tc>
        <w:tc>
          <w:tcPr>
            <w:tcW w:w="1434" w:type="pct"/>
            <w:noWrap w:val="0"/>
            <w:vAlign w:val="center"/>
          </w:tcPr>
          <w:p w14:paraId="163ED65F">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ascii="Times New Roman" w:hAnsi="Times New Roman" w:eastAsia="宋体" w:cs="Times New Roman"/>
                <w:b/>
                <w:bCs/>
                <w:color w:val="auto"/>
                <w:kern w:val="18"/>
                <w:sz w:val="21"/>
                <w:szCs w:val="21"/>
                <w:lang w:val="en-US" w:eastAsia="zh-CN" w:bidi="ar-SA"/>
              </w:rPr>
            </w:pPr>
            <w:r>
              <w:rPr>
                <w:rFonts w:hint="default" w:ascii="Times New Roman" w:hAnsi="Times New Roman" w:eastAsia="宋体" w:cs="Times New Roman"/>
                <w:b/>
                <w:bCs/>
                <w:color w:val="auto"/>
                <w:sz w:val="21"/>
                <w:szCs w:val="21"/>
                <w:lang w:val="en-US" w:eastAsia="zh-CN"/>
              </w:rPr>
              <w:t>实际距离（m）</w:t>
            </w:r>
          </w:p>
        </w:tc>
        <w:tc>
          <w:tcPr>
            <w:tcW w:w="495" w:type="pct"/>
            <w:vMerge w:val="continue"/>
            <w:noWrap w:val="0"/>
            <w:vAlign w:val="center"/>
          </w:tcPr>
          <w:p w14:paraId="0D1F8C8D">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rPr>
            </w:pPr>
          </w:p>
        </w:tc>
      </w:tr>
      <w:tr w14:paraId="187732A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4" w:hRule="atLeast"/>
          <w:jc w:val="center"/>
        </w:trPr>
        <w:tc>
          <w:tcPr>
            <w:tcW w:w="2074" w:type="pct"/>
            <w:gridSpan w:val="2"/>
            <w:noWrap w:val="0"/>
            <w:vAlign w:val="center"/>
          </w:tcPr>
          <w:p w14:paraId="11AF44F2">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重要公共建筑物</w:t>
            </w:r>
          </w:p>
        </w:tc>
        <w:tc>
          <w:tcPr>
            <w:tcW w:w="995" w:type="pct"/>
            <w:noWrap w:val="0"/>
            <w:vAlign w:val="center"/>
          </w:tcPr>
          <w:p w14:paraId="4969CCA5">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50</w:t>
            </w:r>
          </w:p>
        </w:tc>
        <w:tc>
          <w:tcPr>
            <w:tcW w:w="1434" w:type="pct"/>
            <w:noWrap w:val="0"/>
            <w:vAlign w:val="center"/>
          </w:tcPr>
          <w:p w14:paraId="1BEF8F1D">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（50m内无此项）</w:t>
            </w:r>
          </w:p>
        </w:tc>
        <w:tc>
          <w:tcPr>
            <w:tcW w:w="495" w:type="pct"/>
            <w:noWrap w:val="0"/>
            <w:vAlign w:val="center"/>
          </w:tcPr>
          <w:p w14:paraId="20AC3B76">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符合</w:t>
            </w:r>
          </w:p>
        </w:tc>
      </w:tr>
      <w:tr w14:paraId="6845B88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50" w:hRule="atLeast"/>
          <w:jc w:val="center"/>
        </w:trPr>
        <w:tc>
          <w:tcPr>
            <w:tcW w:w="2074" w:type="pct"/>
            <w:gridSpan w:val="2"/>
            <w:noWrap w:val="0"/>
            <w:vAlign w:val="center"/>
          </w:tcPr>
          <w:p w14:paraId="37495193">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明火或散发火花地点</w:t>
            </w:r>
          </w:p>
        </w:tc>
        <w:tc>
          <w:tcPr>
            <w:tcW w:w="995" w:type="pct"/>
            <w:noWrap w:val="0"/>
            <w:vAlign w:val="center"/>
          </w:tcPr>
          <w:p w14:paraId="41638122">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25</w:t>
            </w:r>
          </w:p>
        </w:tc>
        <w:tc>
          <w:tcPr>
            <w:tcW w:w="1434" w:type="pct"/>
            <w:noWrap w:val="0"/>
            <w:vAlign w:val="center"/>
          </w:tcPr>
          <w:p w14:paraId="262EE8F2">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（50m内无此项）</w:t>
            </w:r>
          </w:p>
        </w:tc>
        <w:tc>
          <w:tcPr>
            <w:tcW w:w="495" w:type="pct"/>
            <w:noWrap w:val="0"/>
            <w:vAlign w:val="center"/>
          </w:tcPr>
          <w:p w14:paraId="6CC46ACD">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符合</w:t>
            </w:r>
          </w:p>
        </w:tc>
      </w:tr>
      <w:tr w14:paraId="76BAD3F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61" w:hRule="atLeast"/>
          <w:jc w:val="center"/>
        </w:trPr>
        <w:tc>
          <w:tcPr>
            <w:tcW w:w="2074" w:type="pct"/>
            <w:gridSpan w:val="2"/>
            <w:noWrap w:val="0"/>
            <w:vAlign w:val="center"/>
          </w:tcPr>
          <w:p w14:paraId="1571EEA3">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一类民用建筑保护物</w:t>
            </w:r>
          </w:p>
        </w:tc>
        <w:tc>
          <w:tcPr>
            <w:tcW w:w="995" w:type="pct"/>
            <w:noWrap w:val="0"/>
            <w:vAlign w:val="center"/>
          </w:tcPr>
          <w:p w14:paraId="367B2472">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16</w:t>
            </w:r>
          </w:p>
        </w:tc>
        <w:tc>
          <w:tcPr>
            <w:tcW w:w="1434" w:type="pct"/>
            <w:noWrap w:val="0"/>
            <w:vAlign w:val="center"/>
          </w:tcPr>
          <w:p w14:paraId="69F1F69D">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（50m内无此项）</w:t>
            </w:r>
          </w:p>
        </w:tc>
        <w:tc>
          <w:tcPr>
            <w:tcW w:w="495" w:type="pct"/>
            <w:noWrap w:val="0"/>
            <w:vAlign w:val="center"/>
          </w:tcPr>
          <w:p w14:paraId="59D6284D">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符合</w:t>
            </w:r>
          </w:p>
        </w:tc>
      </w:tr>
      <w:tr w14:paraId="2FC77A0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4" w:hRule="atLeast"/>
          <w:jc w:val="center"/>
        </w:trPr>
        <w:tc>
          <w:tcPr>
            <w:tcW w:w="2074" w:type="pct"/>
            <w:gridSpan w:val="2"/>
            <w:noWrap w:val="0"/>
            <w:vAlign w:val="center"/>
          </w:tcPr>
          <w:p w14:paraId="0E0B6109">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二类民用建筑保护物</w:t>
            </w:r>
          </w:p>
        </w:tc>
        <w:tc>
          <w:tcPr>
            <w:tcW w:w="995" w:type="pct"/>
            <w:noWrap w:val="0"/>
            <w:vAlign w:val="center"/>
          </w:tcPr>
          <w:p w14:paraId="72C7971C">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w:t>
            </w:r>
          </w:p>
        </w:tc>
        <w:tc>
          <w:tcPr>
            <w:tcW w:w="1434" w:type="pct"/>
            <w:noWrap w:val="0"/>
            <w:vAlign w:val="center"/>
          </w:tcPr>
          <w:p w14:paraId="4518AF0F">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（50m内无此项）</w:t>
            </w:r>
          </w:p>
        </w:tc>
        <w:tc>
          <w:tcPr>
            <w:tcW w:w="495" w:type="pct"/>
            <w:noWrap w:val="0"/>
            <w:vAlign w:val="center"/>
          </w:tcPr>
          <w:p w14:paraId="52DD0A13">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符合</w:t>
            </w:r>
          </w:p>
        </w:tc>
      </w:tr>
      <w:tr w14:paraId="63131E4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8" w:hRule="atLeast"/>
          <w:jc w:val="center"/>
        </w:trPr>
        <w:tc>
          <w:tcPr>
            <w:tcW w:w="2074" w:type="pct"/>
            <w:gridSpan w:val="2"/>
            <w:noWrap w:val="0"/>
            <w:vAlign w:val="center"/>
          </w:tcPr>
          <w:p w14:paraId="38B256B8">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三类民用建筑保护物</w:t>
            </w:r>
          </w:p>
        </w:tc>
        <w:tc>
          <w:tcPr>
            <w:tcW w:w="995" w:type="pct"/>
            <w:noWrap w:val="0"/>
            <w:vAlign w:val="center"/>
          </w:tcPr>
          <w:p w14:paraId="5C45623A">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w:t>
            </w:r>
          </w:p>
        </w:tc>
        <w:tc>
          <w:tcPr>
            <w:tcW w:w="1434" w:type="pct"/>
            <w:noWrap w:val="0"/>
            <w:vAlign w:val="center"/>
          </w:tcPr>
          <w:p w14:paraId="38101042">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50m内无此项</w:t>
            </w:r>
            <w:r>
              <w:rPr>
                <w:rFonts w:hint="default" w:ascii="Times New Roman" w:hAnsi="Times New Roman" w:eastAsia="宋体" w:cs="Times New Roman"/>
                <w:color w:val="auto"/>
                <w:sz w:val="21"/>
                <w:szCs w:val="21"/>
                <w:highlight w:val="none"/>
              </w:rPr>
              <w:t>）</w:t>
            </w:r>
          </w:p>
        </w:tc>
        <w:tc>
          <w:tcPr>
            <w:tcW w:w="495" w:type="pct"/>
            <w:noWrap w:val="0"/>
            <w:vAlign w:val="center"/>
          </w:tcPr>
          <w:p w14:paraId="6253D477">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600D1FE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13" w:hRule="atLeast"/>
          <w:jc w:val="center"/>
        </w:trPr>
        <w:tc>
          <w:tcPr>
            <w:tcW w:w="2074" w:type="pct"/>
            <w:gridSpan w:val="2"/>
            <w:noWrap w:val="0"/>
            <w:vAlign w:val="center"/>
          </w:tcPr>
          <w:p w14:paraId="22645D2A">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甲、乙类物品生产厂房、库房和甲、乙类液体储罐</w:t>
            </w:r>
          </w:p>
        </w:tc>
        <w:tc>
          <w:tcPr>
            <w:tcW w:w="995" w:type="pct"/>
            <w:noWrap w:val="0"/>
            <w:vAlign w:val="center"/>
          </w:tcPr>
          <w:p w14:paraId="5AB87ADD">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22</w:t>
            </w:r>
          </w:p>
        </w:tc>
        <w:tc>
          <w:tcPr>
            <w:tcW w:w="1434" w:type="pct"/>
            <w:noWrap w:val="0"/>
            <w:vAlign w:val="center"/>
          </w:tcPr>
          <w:p w14:paraId="178B5D17">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（50m内无此项）</w:t>
            </w:r>
          </w:p>
        </w:tc>
        <w:tc>
          <w:tcPr>
            <w:tcW w:w="495" w:type="pct"/>
            <w:noWrap w:val="0"/>
            <w:vAlign w:val="center"/>
          </w:tcPr>
          <w:p w14:paraId="55BE233B">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符合</w:t>
            </w:r>
          </w:p>
        </w:tc>
      </w:tr>
      <w:tr w14:paraId="68C36FA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259" w:hRule="atLeast"/>
          <w:jc w:val="center"/>
        </w:trPr>
        <w:tc>
          <w:tcPr>
            <w:tcW w:w="2074" w:type="pct"/>
            <w:gridSpan w:val="2"/>
            <w:noWrap w:val="0"/>
            <w:vAlign w:val="center"/>
          </w:tcPr>
          <w:p w14:paraId="4432E4E0">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zh-CN" w:eastAsia="zh-CN"/>
              </w:rPr>
              <w:t>丙、丁、戊类物品生产厂房、库房和丙类液体储罐以及容积不大于50m</w:t>
            </w:r>
            <w:r>
              <w:rPr>
                <w:rFonts w:hint="default" w:ascii="Times New Roman" w:hAnsi="Times New Roman" w:eastAsia="宋体" w:cs="Times New Roman"/>
                <w:color w:val="auto"/>
                <w:sz w:val="21"/>
                <w:szCs w:val="21"/>
                <w:vertAlign w:val="superscript"/>
                <w:lang w:val="zh-CN" w:eastAsia="zh-CN"/>
              </w:rPr>
              <w:t>3</w:t>
            </w:r>
            <w:r>
              <w:rPr>
                <w:rFonts w:hint="default" w:ascii="Times New Roman" w:hAnsi="Times New Roman" w:eastAsia="宋体" w:cs="Times New Roman"/>
                <w:color w:val="auto"/>
                <w:sz w:val="21"/>
                <w:szCs w:val="21"/>
                <w:lang w:val="zh-CN" w:eastAsia="zh-CN"/>
              </w:rPr>
              <w:t>埋地甲、乙类液体储罐</w:t>
            </w:r>
            <w:r>
              <w:rPr>
                <w:rFonts w:hint="default" w:ascii="Times New Roman" w:hAnsi="Times New Roman" w:eastAsia="宋体" w:cs="Times New Roman"/>
                <w:color w:val="auto"/>
                <w:sz w:val="21"/>
                <w:szCs w:val="21"/>
                <w:lang w:val="en-US" w:eastAsia="zh-CN"/>
              </w:rPr>
              <w:t>（东侧</w:t>
            </w:r>
            <w:r>
              <w:rPr>
                <w:rFonts w:hint="default" w:ascii="Times New Roman" w:hAnsi="Times New Roman" w:eastAsia="宋体" w:cs="Times New Roman"/>
                <w:color w:val="auto"/>
                <w:sz w:val="21"/>
                <w:szCs w:val="21"/>
                <w:lang w:val="zh-CN" w:eastAsia="zh-CN"/>
              </w:rPr>
              <w:t>戊类物品生产厂房</w:t>
            </w:r>
            <w:r>
              <w:rPr>
                <w:rFonts w:hint="default" w:ascii="Times New Roman" w:hAnsi="Times New Roman" w:eastAsia="宋体" w:cs="Times New Roman"/>
                <w:color w:val="auto"/>
                <w:sz w:val="21"/>
                <w:szCs w:val="21"/>
                <w:lang w:val="en-US" w:eastAsia="zh-CN"/>
              </w:rPr>
              <w:t>）</w:t>
            </w:r>
          </w:p>
        </w:tc>
        <w:tc>
          <w:tcPr>
            <w:tcW w:w="995" w:type="pct"/>
            <w:noWrap w:val="0"/>
            <w:vAlign w:val="center"/>
          </w:tcPr>
          <w:p w14:paraId="1C89EF46">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16</w:t>
            </w:r>
          </w:p>
        </w:tc>
        <w:tc>
          <w:tcPr>
            <w:tcW w:w="1434" w:type="pct"/>
            <w:noWrap w:val="0"/>
            <w:vAlign w:val="center"/>
          </w:tcPr>
          <w:p w14:paraId="34532B08">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28.5m（东侧，卧式砂仓）</w:t>
            </w:r>
          </w:p>
          <w:p w14:paraId="4841380A">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28.3</w:t>
            </w:r>
            <w:r>
              <w:rPr>
                <w:rFonts w:hint="default" w:ascii="Times New Roman" w:hAnsi="Times New Roman" w:eastAsia="宋体" w:cs="Times New Roman"/>
                <w:color w:val="auto"/>
                <w:sz w:val="21"/>
                <w:szCs w:val="21"/>
              </w:rPr>
              <w:t>m</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东南侧，卷扬机房</w:t>
            </w:r>
            <w:r>
              <w:rPr>
                <w:rFonts w:hint="default" w:ascii="Times New Roman" w:hAnsi="Times New Roman" w:eastAsia="宋体" w:cs="Times New Roman"/>
                <w:color w:val="auto"/>
                <w:sz w:val="21"/>
                <w:szCs w:val="21"/>
                <w:lang w:val="en-US" w:eastAsia="zh-CN"/>
              </w:rPr>
              <w:t>）</w:t>
            </w:r>
          </w:p>
          <w:p w14:paraId="2CC3CBE6">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16.1m（</w:t>
            </w:r>
            <w:r>
              <w:rPr>
                <w:rFonts w:hint="eastAsia" w:cs="Times New Roman"/>
                <w:color w:val="auto"/>
                <w:sz w:val="21"/>
                <w:szCs w:val="21"/>
                <w:lang w:val="en-US" w:eastAsia="zh-CN"/>
              </w:rPr>
              <w:t>西南侧，</w:t>
            </w:r>
            <w:r>
              <w:rPr>
                <w:rFonts w:hint="eastAsia" w:ascii="Times New Roman" w:hAnsi="Times New Roman" w:eastAsia="宋体" w:cs="Times New Roman"/>
                <w:color w:val="auto"/>
                <w:sz w:val="21"/>
                <w:szCs w:val="21"/>
                <w:lang w:val="en-US" w:eastAsia="zh-CN"/>
              </w:rPr>
              <w:t>矿堆场）</w:t>
            </w:r>
          </w:p>
        </w:tc>
        <w:tc>
          <w:tcPr>
            <w:tcW w:w="495" w:type="pct"/>
            <w:noWrap w:val="0"/>
            <w:vAlign w:val="center"/>
          </w:tcPr>
          <w:p w14:paraId="7BE8EFA9">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313E58D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75" w:hRule="atLeast"/>
          <w:jc w:val="center"/>
        </w:trPr>
        <w:tc>
          <w:tcPr>
            <w:tcW w:w="2074" w:type="pct"/>
            <w:gridSpan w:val="2"/>
            <w:noWrap w:val="0"/>
            <w:vAlign w:val="center"/>
          </w:tcPr>
          <w:p w14:paraId="13F8BC82">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室外变配电站</w:t>
            </w:r>
          </w:p>
        </w:tc>
        <w:tc>
          <w:tcPr>
            <w:tcW w:w="995" w:type="pct"/>
            <w:noWrap w:val="0"/>
            <w:vAlign w:val="top"/>
          </w:tcPr>
          <w:p w14:paraId="048852A8">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18</w:t>
            </w:r>
          </w:p>
        </w:tc>
        <w:tc>
          <w:tcPr>
            <w:tcW w:w="1434" w:type="pct"/>
            <w:noWrap w:val="0"/>
            <w:vAlign w:val="top"/>
          </w:tcPr>
          <w:p w14:paraId="0113B44A">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（50m内无此项）</w:t>
            </w:r>
          </w:p>
        </w:tc>
        <w:tc>
          <w:tcPr>
            <w:tcW w:w="495" w:type="pct"/>
            <w:noWrap w:val="0"/>
            <w:vAlign w:val="top"/>
          </w:tcPr>
          <w:p w14:paraId="7E6BCA8F">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731DAC0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5" w:hRule="atLeast"/>
          <w:jc w:val="center"/>
        </w:trPr>
        <w:tc>
          <w:tcPr>
            <w:tcW w:w="2074" w:type="pct"/>
            <w:gridSpan w:val="2"/>
            <w:noWrap w:val="0"/>
            <w:vAlign w:val="center"/>
          </w:tcPr>
          <w:p w14:paraId="21A65836">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地上铁路</w:t>
            </w:r>
          </w:p>
        </w:tc>
        <w:tc>
          <w:tcPr>
            <w:tcW w:w="995" w:type="pct"/>
            <w:noWrap w:val="0"/>
            <w:vAlign w:val="top"/>
          </w:tcPr>
          <w:p w14:paraId="0622FE24">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w:t>
            </w:r>
          </w:p>
        </w:tc>
        <w:tc>
          <w:tcPr>
            <w:tcW w:w="1434" w:type="pct"/>
            <w:noWrap w:val="0"/>
            <w:vAlign w:val="top"/>
          </w:tcPr>
          <w:p w14:paraId="0FDEDD08">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（50m内无此项）</w:t>
            </w:r>
          </w:p>
        </w:tc>
        <w:tc>
          <w:tcPr>
            <w:tcW w:w="495" w:type="pct"/>
            <w:noWrap w:val="0"/>
            <w:vAlign w:val="top"/>
          </w:tcPr>
          <w:p w14:paraId="02E7F396">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142E1D1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38" w:hRule="atLeast"/>
          <w:jc w:val="center"/>
        </w:trPr>
        <w:tc>
          <w:tcPr>
            <w:tcW w:w="508" w:type="pct"/>
            <w:vMerge w:val="restart"/>
            <w:noWrap w:val="0"/>
            <w:vAlign w:val="center"/>
          </w:tcPr>
          <w:p w14:paraId="396F6968">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城市</w:t>
            </w:r>
          </w:p>
          <w:p w14:paraId="77EB1B8B">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道路</w:t>
            </w:r>
          </w:p>
        </w:tc>
        <w:tc>
          <w:tcPr>
            <w:tcW w:w="1565" w:type="pct"/>
            <w:noWrap w:val="0"/>
            <w:vAlign w:val="center"/>
          </w:tcPr>
          <w:p w14:paraId="16CB4368">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快速路、主干路</w:t>
            </w:r>
          </w:p>
        </w:tc>
        <w:tc>
          <w:tcPr>
            <w:tcW w:w="995" w:type="pct"/>
            <w:noWrap w:val="0"/>
            <w:vAlign w:val="center"/>
          </w:tcPr>
          <w:p w14:paraId="232237EE">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8</w:t>
            </w:r>
          </w:p>
        </w:tc>
        <w:tc>
          <w:tcPr>
            <w:tcW w:w="1434" w:type="pct"/>
            <w:noWrap w:val="0"/>
            <w:vAlign w:val="center"/>
          </w:tcPr>
          <w:p w14:paraId="4B1030CF">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（50m内无此项）</w:t>
            </w:r>
          </w:p>
        </w:tc>
        <w:tc>
          <w:tcPr>
            <w:tcW w:w="495" w:type="pct"/>
            <w:noWrap w:val="0"/>
            <w:vAlign w:val="center"/>
          </w:tcPr>
          <w:p w14:paraId="0B5F6053">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6A90409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50" w:hRule="atLeast"/>
          <w:jc w:val="center"/>
        </w:trPr>
        <w:tc>
          <w:tcPr>
            <w:tcW w:w="508" w:type="pct"/>
            <w:vMerge w:val="continue"/>
            <w:noWrap w:val="0"/>
            <w:vAlign w:val="center"/>
          </w:tcPr>
          <w:p w14:paraId="4EB93E7F">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p>
        </w:tc>
        <w:tc>
          <w:tcPr>
            <w:tcW w:w="1565" w:type="pct"/>
            <w:noWrap w:val="0"/>
            <w:vAlign w:val="center"/>
          </w:tcPr>
          <w:p w14:paraId="40F6A7DE">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次干路、支路</w:t>
            </w:r>
          </w:p>
        </w:tc>
        <w:tc>
          <w:tcPr>
            <w:tcW w:w="995" w:type="pct"/>
            <w:noWrap w:val="0"/>
            <w:vAlign w:val="center"/>
          </w:tcPr>
          <w:p w14:paraId="1182B47E">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w:t>
            </w:r>
          </w:p>
        </w:tc>
        <w:tc>
          <w:tcPr>
            <w:tcW w:w="1434" w:type="pct"/>
            <w:noWrap w:val="0"/>
            <w:vAlign w:val="center"/>
          </w:tcPr>
          <w:p w14:paraId="78EE3CDA">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（50m内无此项）</w:t>
            </w:r>
          </w:p>
        </w:tc>
        <w:tc>
          <w:tcPr>
            <w:tcW w:w="495" w:type="pct"/>
            <w:noWrap w:val="0"/>
            <w:vAlign w:val="center"/>
          </w:tcPr>
          <w:p w14:paraId="57C23304">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5ACBCE9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9" w:hRule="atLeast"/>
          <w:jc w:val="center"/>
        </w:trPr>
        <w:tc>
          <w:tcPr>
            <w:tcW w:w="2074" w:type="pct"/>
            <w:gridSpan w:val="2"/>
            <w:noWrap w:val="0"/>
            <w:vAlign w:val="center"/>
          </w:tcPr>
          <w:p w14:paraId="67D840A7">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架空通信线</w:t>
            </w:r>
          </w:p>
        </w:tc>
        <w:tc>
          <w:tcPr>
            <w:tcW w:w="995" w:type="pct"/>
            <w:noWrap w:val="0"/>
            <w:vAlign w:val="top"/>
          </w:tcPr>
          <w:p w14:paraId="192EA007">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1434" w:type="pct"/>
            <w:noWrap w:val="0"/>
            <w:vAlign w:val="top"/>
          </w:tcPr>
          <w:p w14:paraId="61B318DA">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（50m内无此项）</w:t>
            </w:r>
          </w:p>
        </w:tc>
        <w:tc>
          <w:tcPr>
            <w:tcW w:w="495" w:type="pct"/>
            <w:noWrap w:val="0"/>
            <w:vAlign w:val="center"/>
          </w:tcPr>
          <w:p w14:paraId="5882B33F">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5B989DD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7" w:hRule="atLeast"/>
          <w:jc w:val="center"/>
        </w:trPr>
        <w:tc>
          <w:tcPr>
            <w:tcW w:w="2074" w:type="pct"/>
            <w:gridSpan w:val="2"/>
            <w:noWrap w:val="0"/>
            <w:vAlign w:val="center"/>
          </w:tcPr>
          <w:p w14:paraId="23164882">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架空电力线路</w:t>
            </w:r>
          </w:p>
        </w:tc>
        <w:tc>
          <w:tcPr>
            <w:tcW w:w="995" w:type="pct"/>
            <w:noWrap w:val="0"/>
            <w:vAlign w:val="center"/>
          </w:tcPr>
          <w:p w14:paraId="58202B03">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1倍杆高，且不小于6.5m</w:t>
            </w:r>
          </w:p>
        </w:tc>
        <w:tc>
          <w:tcPr>
            <w:tcW w:w="1434" w:type="pct"/>
            <w:noWrap w:val="0"/>
            <w:vAlign w:val="center"/>
          </w:tcPr>
          <w:p w14:paraId="1F3FB6A3">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（50m内无此项）</w:t>
            </w:r>
          </w:p>
        </w:tc>
        <w:tc>
          <w:tcPr>
            <w:tcW w:w="495" w:type="pct"/>
            <w:noWrap w:val="0"/>
            <w:vAlign w:val="center"/>
          </w:tcPr>
          <w:p w14:paraId="7750524C">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2DE35D7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7" w:hRule="atLeast"/>
          <w:jc w:val="center"/>
        </w:trPr>
        <w:tc>
          <w:tcPr>
            <w:tcW w:w="2074" w:type="pct"/>
            <w:gridSpan w:val="2"/>
            <w:noWrap w:val="0"/>
            <w:vAlign w:val="center"/>
          </w:tcPr>
          <w:p w14:paraId="62739126">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停车场</w:t>
            </w:r>
          </w:p>
        </w:tc>
        <w:tc>
          <w:tcPr>
            <w:tcW w:w="995" w:type="pct"/>
            <w:noWrap w:val="0"/>
            <w:vAlign w:val="center"/>
          </w:tcPr>
          <w:p w14:paraId="21D96F11">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w:t>
            </w:r>
          </w:p>
        </w:tc>
        <w:tc>
          <w:tcPr>
            <w:tcW w:w="1434" w:type="pct"/>
            <w:noWrap w:val="0"/>
            <w:vAlign w:val="center"/>
          </w:tcPr>
          <w:p w14:paraId="2742C892">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（50m内无此项）</w:t>
            </w:r>
          </w:p>
        </w:tc>
        <w:tc>
          <w:tcPr>
            <w:tcW w:w="495" w:type="pct"/>
            <w:noWrap w:val="0"/>
            <w:vAlign w:val="center"/>
          </w:tcPr>
          <w:p w14:paraId="2B9CB8F8">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6DA4291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51" w:hRule="atLeast"/>
          <w:jc w:val="center"/>
        </w:trPr>
        <w:tc>
          <w:tcPr>
            <w:tcW w:w="5000" w:type="pct"/>
            <w:gridSpan w:val="5"/>
            <w:noWrap w:val="0"/>
            <w:vAlign w:val="center"/>
          </w:tcPr>
          <w:p w14:paraId="52A20264">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left"/>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注1：表中规范要求间距依据《撬装式汽车加油站技术标准》SH/T3134-2023</w:t>
            </w:r>
          </w:p>
          <w:p w14:paraId="6D72CAD0">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left"/>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注2：重要公共建筑物、民用建筑物保护类别划分见GB50156。</w:t>
            </w:r>
          </w:p>
          <w:p w14:paraId="09E78AB8">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left"/>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注3：撬装式加油装置与停车场的间距符合GB50067-2014第4.2.6条的规定。</w:t>
            </w:r>
          </w:p>
        </w:tc>
      </w:tr>
    </w:tbl>
    <w:p w14:paraId="29934CC6">
      <w:pPr>
        <w:pStyle w:val="4"/>
        <w:bidi w:val="0"/>
        <w:rPr>
          <w:rFonts w:hint="default"/>
          <w:lang w:val="en-US" w:eastAsia="zh-CN"/>
        </w:rPr>
      </w:pPr>
      <w:bookmarkStart w:id="24" w:name="_Toc5252"/>
      <w:r>
        <w:rPr>
          <w:rFonts w:hint="default"/>
          <w:lang w:val="en-US" w:eastAsia="zh-CN"/>
        </w:rPr>
        <w:t>2.3.3 外部依托</w:t>
      </w:r>
      <w:bookmarkEnd w:id="24"/>
    </w:p>
    <w:p w14:paraId="2B52307D">
      <w:pPr>
        <w:rPr>
          <w:rFonts w:hint="default"/>
          <w:b w:val="0"/>
          <w:bCs w:val="0"/>
          <w:color w:val="auto"/>
          <w:lang w:val="en-US" w:eastAsia="zh-CN"/>
        </w:rPr>
      </w:pPr>
      <w:r>
        <w:rPr>
          <w:rFonts w:hint="default"/>
          <w:b w:val="0"/>
          <w:bCs w:val="0"/>
          <w:color w:val="auto"/>
          <w:lang w:val="en-US" w:eastAsia="zh-CN"/>
        </w:rPr>
        <w:t>本项目用电从厂区原有变压器接220/380V电源</w:t>
      </w:r>
      <w:r>
        <w:rPr>
          <w:rFonts w:hint="eastAsia"/>
          <w:b w:val="0"/>
          <w:bCs w:val="0"/>
          <w:color w:val="auto"/>
          <w:lang w:val="en-US" w:eastAsia="zh-CN"/>
        </w:rPr>
        <w:t>穿管</w:t>
      </w:r>
      <w:r>
        <w:rPr>
          <w:rFonts w:hint="default"/>
          <w:b w:val="0"/>
          <w:bCs w:val="0"/>
          <w:color w:val="auto"/>
          <w:lang w:val="en-US" w:eastAsia="zh-CN"/>
        </w:rPr>
        <w:t>敷设接至橇装设备。</w:t>
      </w:r>
      <w:r>
        <w:rPr>
          <w:rFonts w:hint="eastAsia"/>
          <w:b w:val="0"/>
          <w:bCs w:val="0"/>
          <w:color w:val="auto"/>
          <w:lang w:val="en-US" w:eastAsia="zh-CN"/>
        </w:rPr>
        <w:t>矿区有备用应急柴油发电机</w:t>
      </w:r>
      <w:r>
        <w:rPr>
          <w:rFonts w:hint="default"/>
          <w:b w:val="0"/>
          <w:bCs w:val="0"/>
          <w:color w:val="auto"/>
          <w:lang w:val="en-US" w:eastAsia="zh-CN"/>
        </w:rPr>
        <w:t>。</w:t>
      </w:r>
    </w:p>
    <w:p w14:paraId="16990BDB">
      <w:pPr>
        <w:rPr>
          <w:rFonts w:hint="default"/>
          <w:color w:val="auto"/>
          <w:lang w:val="en-US" w:eastAsia="zh-CN"/>
        </w:rPr>
      </w:pPr>
      <w:r>
        <w:rPr>
          <w:rFonts w:hint="default"/>
          <w:lang w:val="en-US" w:eastAsia="zh-CN"/>
        </w:rPr>
        <w:t>本项目用水依托厂区原有给水管网，来自市政给水管网，从市政给水管网接管，管径</w:t>
      </w:r>
      <w:r>
        <w:rPr>
          <w:rFonts w:hint="default"/>
          <w:color w:val="auto"/>
          <w:lang w:val="en-US" w:eastAsia="zh-CN"/>
        </w:rPr>
        <w:t>为DN150，供水压力0.25MPa。</w:t>
      </w:r>
    </w:p>
    <w:p w14:paraId="0B011825">
      <w:pPr>
        <w:rPr>
          <w:rFonts w:hint="default"/>
          <w:color w:val="auto"/>
          <w:lang w:val="en-US" w:eastAsia="zh-CN"/>
        </w:rPr>
      </w:pPr>
      <w:r>
        <w:rPr>
          <w:rFonts w:hint="default"/>
          <w:color w:val="auto"/>
          <w:lang w:val="en-US" w:eastAsia="zh-CN"/>
        </w:rPr>
        <w:t>江西省宜丰万国矿业有限公司</w:t>
      </w:r>
      <w:r>
        <w:rPr>
          <w:rFonts w:hint="eastAsia"/>
          <w:color w:val="auto"/>
          <w:lang w:val="en-US" w:eastAsia="zh-CN"/>
        </w:rPr>
        <w:t>内部有成立有</w:t>
      </w:r>
      <w:r>
        <w:rPr>
          <w:rFonts w:hint="default"/>
          <w:color w:val="auto"/>
          <w:lang w:val="en-US" w:eastAsia="zh-CN"/>
        </w:rPr>
        <w:t>应急救援</w:t>
      </w:r>
      <w:r>
        <w:rPr>
          <w:rFonts w:hint="eastAsia"/>
          <w:color w:val="auto"/>
          <w:lang w:val="en-US" w:eastAsia="zh-CN"/>
        </w:rPr>
        <w:t>队伍，可随时保障救援</w:t>
      </w:r>
      <w:r>
        <w:rPr>
          <w:rFonts w:hint="default"/>
          <w:color w:val="auto"/>
          <w:lang w:val="en-US" w:eastAsia="zh-CN"/>
        </w:rPr>
        <w:t>。消防外援</w:t>
      </w:r>
      <w:r>
        <w:rPr>
          <w:rFonts w:hint="eastAsia"/>
          <w:color w:val="auto"/>
          <w:lang w:val="en-US" w:eastAsia="zh-CN"/>
        </w:rPr>
        <w:t>为</w:t>
      </w:r>
      <w:r>
        <w:rPr>
          <w:rFonts w:hint="default"/>
          <w:color w:val="auto"/>
          <w:lang w:val="en-US" w:eastAsia="zh-CN"/>
        </w:rPr>
        <w:t>宜丰县消防救援大队，距离本项目35.5km，45min可到达现场。</w:t>
      </w:r>
    </w:p>
    <w:p w14:paraId="4AF93653">
      <w:pPr>
        <w:rPr>
          <w:rFonts w:hint="default"/>
          <w:lang w:val="en-US" w:eastAsia="zh-CN"/>
        </w:rPr>
      </w:pPr>
      <w:r>
        <w:rPr>
          <w:rFonts w:hint="default"/>
          <w:lang w:val="en-US" w:eastAsia="zh-CN"/>
        </w:rPr>
        <w:t>本项目医院主要依托新庄镇卫生院，距离本项目3.6km，6min可到达现场，对项目突发事故造成的人员简单救治。当医疗医师力量不能满足救援需求时，依托宜丰县人民医院，距离新庄镇卫生院33km，45min可到达。</w:t>
      </w:r>
    </w:p>
    <w:p w14:paraId="24D92030">
      <w:pPr>
        <w:pStyle w:val="3"/>
        <w:bidi w:val="0"/>
        <w:rPr>
          <w:rFonts w:hint="default"/>
          <w:lang w:val="en-US" w:eastAsia="zh-CN"/>
        </w:rPr>
      </w:pPr>
      <w:bookmarkStart w:id="25" w:name="_Toc28278"/>
      <w:r>
        <w:rPr>
          <w:rFonts w:hint="default"/>
          <w:lang w:val="en-US" w:eastAsia="zh-CN"/>
        </w:rPr>
        <w:t>2.4 总平面布置</w:t>
      </w:r>
      <w:bookmarkEnd w:id="25"/>
    </w:p>
    <w:p w14:paraId="780E95D8">
      <w:pPr>
        <w:pStyle w:val="4"/>
        <w:bidi w:val="0"/>
        <w:rPr>
          <w:rFonts w:hint="default"/>
          <w:lang w:val="en-US" w:eastAsia="zh-CN"/>
        </w:rPr>
      </w:pPr>
      <w:bookmarkStart w:id="26" w:name="_Toc18320"/>
      <w:r>
        <w:rPr>
          <w:rFonts w:hint="default"/>
          <w:lang w:val="en-US" w:eastAsia="zh-CN"/>
        </w:rPr>
        <w:t>2.4.1</w:t>
      </w:r>
      <w:r>
        <w:rPr>
          <w:rFonts w:hint="eastAsia"/>
          <w:lang w:val="en-US" w:eastAsia="zh-CN"/>
        </w:rPr>
        <w:t xml:space="preserve"> </w:t>
      </w:r>
      <w:r>
        <w:rPr>
          <w:rFonts w:hint="default"/>
          <w:lang w:val="en-US" w:eastAsia="zh-CN"/>
        </w:rPr>
        <w:t>总平面布置</w:t>
      </w:r>
      <w:bookmarkEnd w:id="26"/>
    </w:p>
    <w:p w14:paraId="13F4D74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b w:val="0"/>
          <w:bCs w:val="0"/>
          <w:color w:val="auto"/>
          <w:lang w:val="en-US" w:eastAsia="zh-CN"/>
        </w:rPr>
      </w:pPr>
      <w:r>
        <w:rPr>
          <w:rFonts w:hint="default"/>
          <w:b w:val="0"/>
          <w:bCs w:val="0"/>
          <w:color w:val="auto"/>
          <w:lang w:val="en-US" w:eastAsia="zh-CN"/>
        </w:rPr>
        <w:t>本项目由西向东依次布置</w:t>
      </w:r>
      <w:r>
        <w:rPr>
          <w:rFonts w:hint="eastAsia"/>
          <w:b w:val="0"/>
          <w:bCs w:val="0"/>
          <w:color w:val="auto"/>
          <w:lang w:val="en-US" w:eastAsia="zh-CN"/>
        </w:rPr>
        <w:t>回车场、</w:t>
      </w:r>
      <w:r>
        <w:rPr>
          <w:rFonts w:hint="default"/>
          <w:b w:val="0"/>
          <w:bCs w:val="0"/>
          <w:color w:val="auto"/>
          <w:lang w:val="en-US" w:eastAsia="zh-CN"/>
        </w:rPr>
        <w:t>防护围堰、自用撬装加油装置。</w:t>
      </w:r>
    </w:p>
    <w:p w14:paraId="7E532261">
      <w:pPr>
        <w:keepNext w:val="0"/>
        <w:keepLines w:val="0"/>
        <w:widowControl/>
        <w:suppressLineNumbers w:val="0"/>
        <w:jc w:val="left"/>
        <w:rPr>
          <w:rFonts w:hint="default"/>
          <w:b/>
          <w:bCs/>
          <w:color w:val="0000FF"/>
          <w:lang w:val="en-US" w:eastAsia="zh-CN"/>
        </w:rPr>
      </w:pPr>
      <w:r>
        <w:rPr>
          <w:rFonts w:hint="default"/>
          <w:lang w:val="en-US" w:eastAsia="zh-CN"/>
        </w:rPr>
        <w:t>本项目新增1台阻隔防爆橇装加油装置，集地面防火防爆油罐、加油机、自动灭火器于一体的地面加油装置。自用橇装加油装置设有1个卸油泵，1台加油机位于装置</w:t>
      </w:r>
      <w:r>
        <w:rPr>
          <w:rFonts w:hint="eastAsia"/>
          <w:lang w:val="en-US" w:eastAsia="zh-CN"/>
        </w:rPr>
        <w:t>南侧</w:t>
      </w:r>
      <w:r>
        <w:rPr>
          <w:rFonts w:hint="default"/>
          <w:lang w:val="en-US" w:eastAsia="zh-CN"/>
        </w:rPr>
        <w:t>、1台30m</w:t>
      </w:r>
      <w:r>
        <w:rPr>
          <w:rFonts w:hint="eastAsia"/>
          <w:vertAlign w:val="superscript"/>
          <w:lang w:val="en-US" w:eastAsia="zh-CN"/>
        </w:rPr>
        <w:t>3</w:t>
      </w:r>
      <w:r>
        <w:rPr>
          <w:rFonts w:hint="default"/>
          <w:lang w:val="en-US" w:eastAsia="zh-CN"/>
        </w:rPr>
        <w:t>0#柴油地面防火防爆油罐。卸油口设置在</w:t>
      </w:r>
      <w:r>
        <w:rPr>
          <w:rFonts w:hint="eastAsia"/>
          <w:lang w:val="en-US" w:eastAsia="zh-CN"/>
        </w:rPr>
        <w:t>南</w:t>
      </w:r>
      <w:r>
        <w:rPr>
          <w:rFonts w:hint="default"/>
          <w:lang w:val="en-US" w:eastAsia="zh-CN"/>
        </w:rPr>
        <w:t>侧加油机旁。油罐顶部设置</w:t>
      </w:r>
      <w:r>
        <w:rPr>
          <w:rFonts w:hint="eastAsia"/>
          <w:lang w:val="en-US" w:eastAsia="zh-CN"/>
        </w:rPr>
        <w:t>2</w:t>
      </w:r>
      <w:r>
        <w:rPr>
          <w:rFonts w:hint="default"/>
          <w:lang w:val="en-US" w:eastAsia="zh-CN"/>
        </w:rPr>
        <w:t>根DN50的通气管，高出装置地面4.7m，高出装置顶部</w:t>
      </w:r>
      <w:r>
        <w:rPr>
          <w:rFonts w:hint="default"/>
          <w:b w:val="0"/>
          <w:bCs w:val="0"/>
          <w:color w:val="auto"/>
          <w:lang w:val="en-US" w:eastAsia="zh-CN"/>
        </w:rPr>
        <w:t>1.6m，通气管口安装阻火呼吸阀。装置四周设置防护围堰，围堰周边设置</w:t>
      </w:r>
      <w:r>
        <w:rPr>
          <w:rFonts w:hint="eastAsia"/>
          <w:b w:val="0"/>
          <w:bCs w:val="0"/>
          <w:color w:val="auto"/>
          <w:lang w:val="en-US" w:eastAsia="zh-CN"/>
        </w:rPr>
        <w:t>了</w:t>
      </w:r>
      <w:r>
        <w:rPr>
          <w:rFonts w:hint="default"/>
          <w:b w:val="0"/>
          <w:bCs w:val="0"/>
          <w:color w:val="auto"/>
          <w:lang w:val="en-US" w:eastAsia="zh-CN"/>
        </w:rPr>
        <w:t>防撞</w:t>
      </w:r>
      <w:r>
        <w:rPr>
          <w:rFonts w:hint="eastAsia" w:ascii="宋体" w:hAnsi="宋体" w:eastAsia="宋体" w:cs="宋体"/>
          <w:b w:val="0"/>
          <w:bCs w:val="0"/>
          <w:color w:val="auto"/>
          <w:kern w:val="0"/>
          <w:sz w:val="28"/>
          <w:szCs w:val="28"/>
          <w:lang w:val="en-US" w:eastAsia="zh-CN" w:bidi="ar"/>
        </w:rPr>
        <w:t>墩</w:t>
      </w:r>
      <w:r>
        <w:rPr>
          <w:rFonts w:hint="default"/>
          <w:b w:val="0"/>
          <w:bCs w:val="0"/>
          <w:color w:val="auto"/>
          <w:lang w:val="en-US" w:eastAsia="zh-CN"/>
        </w:rPr>
        <w:t>，高度0.</w:t>
      </w:r>
      <w:r>
        <w:rPr>
          <w:rFonts w:hint="eastAsia"/>
          <w:b w:val="0"/>
          <w:bCs w:val="0"/>
          <w:color w:val="auto"/>
          <w:lang w:val="en-US" w:eastAsia="zh-CN"/>
        </w:rPr>
        <w:t>65</w:t>
      </w:r>
      <w:r>
        <w:rPr>
          <w:rFonts w:hint="default"/>
          <w:b w:val="0"/>
          <w:bCs w:val="0"/>
          <w:color w:val="auto"/>
          <w:lang w:val="en-US" w:eastAsia="zh-CN"/>
        </w:rPr>
        <w:t>m，间距0.5m。</w:t>
      </w:r>
    </w:p>
    <w:p w14:paraId="6AE96CBB">
      <w:pPr>
        <w:pStyle w:val="4"/>
        <w:bidi w:val="0"/>
        <w:rPr>
          <w:rFonts w:hint="default"/>
          <w:lang w:val="en-US" w:eastAsia="zh-CN"/>
        </w:rPr>
      </w:pPr>
      <w:bookmarkStart w:id="27" w:name="_Toc20962"/>
      <w:r>
        <w:rPr>
          <w:rFonts w:hint="eastAsia"/>
          <w:lang w:val="en-US" w:eastAsia="zh-CN"/>
        </w:rPr>
        <w:t>2.4.2 防火间距</w:t>
      </w:r>
      <w:bookmarkEnd w:id="27"/>
    </w:p>
    <w:p w14:paraId="66A0AA9A">
      <w:pPr>
        <w:rPr>
          <w:rFonts w:hint="default"/>
          <w:lang w:val="en-US" w:eastAsia="zh-CN"/>
        </w:rPr>
      </w:pPr>
      <w:r>
        <w:rPr>
          <w:rFonts w:hint="default"/>
          <w:lang w:val="en-US" w:eastAsia="zh-CN"/>
        </w:rPr>
        <w:t>站内设施之间的防火间距见表2.</w:t>
      </w:r>
      <w:r>
        <w:rPr>
          <w:rFonts w:hint="eastAsia"/>
          <w:lang w:val="en-US" w:eastAsia="zh-CN"/>
        </w:rPr>
        <w:t>4</w:t>
      </w:r>
      <w:r>
        <w:rPr>
          <w:rFonts w:hint="default"/>
          <w:lang w:val="en-US" w:eastAsia="zh-CN"/>
        </w:rPr>
        <w:t>-</w:t>
      </w:r>
      <w:r>
        <w:rPr>
          <w:rFonts w:hint="eastAsia"/>
          <w:lang w:val="en-US" w:eastAsia="zh-CN"/>
        </w:rPr>
        <w:t>1</w:t>
      </w:r>
      <w:r>
        <w:rPr>
          <w:rFonts w:hint="default"/>
          <w:lang w:val="en-US" w:eastAsia="zh-CN"/>
        </w:rPr>
        <w:t>。</w:t>
      </w:r>
    </w:p>
    <w:p w14:paraId="53724B4E">
      <w:pPr>
        <w:ind w:left="0" w:leftChars="0" w:firstLine="0" w:firstLineChars="0"/>
        <w:jc w:val="center"/>
        <w:rPr>
          <w:rFonts w:hint="default"/>
          <w:lang w:val="en-US" w:eastAsia="zh-CN"/>
        </w:rPr>
      </w:pPr>
      <w:r>
        <w:rPr>
          <w:rFonts w:hint="default"/>
          <w:lang w:val="en-US" w:eastAsia="zh-CN"/>
        </w:rPr>
        <w:t>表2.</w:t>
      </w:r>
      <w:r>
        <w:rPr>
          <w:rFonts w:hint="eastAsia"/>
          <w:lang w:val="en-US" w:eastAsia="zh-CN"/>
        </w:rPr>
        <w:t>4</w:t>
      </w:r>
      <w:r>
        <w:rPr>
          <w:rFonts w:hint="default"/>
          <w:lang w:val="en-US" w:eastAsia="zh-CN"/>
        </w:rPr>
        <w:t>-</w:t>
      </w:r>
      <w:r>
        <w:rPr>
          <w:rFonts w:hint="eastAsia"/>
          <w:lang w:val="en-US" w:eastAsia="zh-CN"/>
        </w:rPr>
        <w:t xml:space="preserve">1 </w:t>
      </w:r>
      <w:r>
        <w:rPr>
          <w:rFonts w:hint="default"/>
          <w:lang w:val="en-US" w:eastAsia="zh-CN"/>
        </w:rPr>
        <w:t>站内设施之间的防火间距</w:t>
      </w:r>
    </w:p>
    <w:tbl>
      <w:tblPr>
        <w:tblStyle w:val="20"/>
        <w:tblW w:w="5073"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339"/>
        <w:gridCol w:w="701"/>
        <w:gridCol w:w="1684"/>
        <w:gridCol w:w="1330"/>
        <w:gridCol w:w="1326"/>
        <w:gridCol w:w="1887"/>
        <w:gridCol w:w="948"/>
      </w:tblGrid>
      <w:tr w14:paraId="78D41D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jc w:val="center"/>
        </w:trPr>
        <w:tc>
          <w:tcPr>
            <w:tcW w:w="726" w:type="pct"/>
            <w:noWrap w:val="0"/>
            <w:vAlign w:val="center"/>
          </w:tcPr>
          <w:p w14:paraId="0610703B">
            <w:pPr>
              <w:pStyle w:val="45"/>
              <w:bidi w:val="0"/>
              <w:spacing w:line="240" w:lineRule="auto"/>
              <w:jc w:val="center"/>
              <w:rPr>
                <w:rFonts w:hint="default" w:ascii="Times New Roman" w:hAnsi="Times New Roman" w:eastAsia="宋体" w:cs="Times New Roman"/>
                <w:b/>
                <w:bCs w:val="0"/>
                <w:color w:val="auto"/>
              </w:rPr>
            </w:pPr>
            <w:r>
              <w:rPr>
                <w:rFonts w:hint="default" w:ascii="Times New Roman" w:hAnsi="Times New Roman" w:eastAsia="宋体" w:cs="Times New Roman"/>
                <w:b/>
                <w:bCs w:val="0"/>
                <w:color w:val="auto"/>
              </w:rPr>
              <w:t>设施名称</w:t>
            </w:r>
          </w:p>
        </w:tc>
        <w:tc>
          <w:tcPr>
            <w:tcW w:w="380" w:type="pct"/>
            <w:noWrap w:val="0"/>
            <w:vAlign w:val="center"/>
          </w:tcPr>
          <w:p w14:paraId="41F14658">
            <w:pPr>
              <w:pStyle w:val="45"/>
              <w:bidi w:val="0"/>
              <w:spacing w:line="240" w:lineRule="auto"/>
              <w:jc w:val="center"/>
              <w:rPr>
                <w:rFonts w:hint="default" w:ascii="Times New Roman" w:hAnsi="Times New Roman" w:eastAsia="宋体" w:cs="Times New Roman"/>
                <w:b/>
                <w:bCs w:val="0"/>
                <w:color w:val="auto"/>
              </w:rPr>
            </w:pPr>
            <w:r>
              <w:rPr>
                <w:rFonts w:hint="default" w:ascii="Times New Roman" w:hAnsi="Times New Roman" w:eastAsia="宋体" w:cs="Times New Roman"/>
                <w:b/>
                <w:bCs w:val="0"/>
                <w:color w:val="auto"/>
              </w:rPr>
              <w:t>方位</w:t>
            </w:r>
          </w:p>
        </w:tc>
        <w:tc>
          <w:tcPr>
            <w:tcW w:w="913" w:type="pct"/>
            <w:noWrap w:val="0"/>
            <w:vAlign w:val="center"/>
          </w:tcPr>
          <w:p w14:paraId="4146177C">
            <w:pPr>
              <w:pStyle w:val="45"/>
              <w:bidi w:val="0"/>
              <w:spacing w:line="240" w:lineRule="auto"/>
              <w:jc w:val="center"/>
              <w:rPr>
                <w:rFonts w:hint="default" w:ascii="Times New Roman" w:hAnsi="Times New Roman" w:eastAsia="宋体" w:cs="Times New Roman"/>
                <w:b/>
                <w:bCs w:val="0"/>
                <w:color w:val="auto"/>
              </w:rPr>
            </w:pPr>
            <w:r>
              <w:rPr>
                <w:rFonts w:hint="default" w:ascii="Times New Roman" w:hAnsi="Times New Roman" w:eastAsia="宋体" w:cs="Times New Roman"/>
                <w:b/>
                <w:bCs w:val="0"/>
                <w:color w:val="auto"/>
              </w:rPr>
              <w:t>界外设施</w:t>
            </w:r>
          </w:p>
        </w:tc>
        <w:tc>
          <w:tcPr>
            <w:tcW w:w="721" w:type="pct"/>
            <w:noWrap w:val="0"/>
            <w:vAlign w:val="center"/>
          </w:tcPr>
          <w:p w14:paraId="74FDE73B">
            <w:pPr>
              <w:pStyle w:val="45"/>
              <w:bidi w:val="0"/>
              <w:spacing w:line="240" w:lineRule="auto"/>
              <w:jc w:val="center"/>
              <w:rPr>
                <w:rFonts w:hint="default" w:ascii="Times New Roman" w:hAnsi="Times New Roman" w:eastAsia="宋体" w:cs="Times New Roman"/>
                <w:b/>
                <w:bCs w:val="0"/>
                <w:color w:val="auto"/>
              </w:rPr>
            </w:pPr>
            <w:r>
              <w:rPr>
                <w:rFonts w:hint="eastAsia" w:cs="Times New Roman"/>
                <w:b/>
                <w:bCs w:val="0"/>
                <w:color w:val="auto"/>
                <w:lang w:val="en-US" w:eastAsia="zh-CN"/>
              </w:rPr>
              <w:t>实际</w:t>
            </w:r>
            <w:r>
              <w:rPr>
                <w:rFonts w:hint="default" w:ascii="Times New Roman" w:hAnsi="Times New Roman" w:eastAsia="宋体" w:cs="Times New Roman"/>
                <w:b/>
                <w:bCs w:val="0"/>
                <w:color w:val="auto"/>
              </w:rPr>
              <w:t>距离（m）</w:t>
            </w:r>
          </w:p>
        </w:tc>
        <w:tc>
          <w:tcPr>
            <w:tcW w:w="719" w:type="pct"/>
            <w:noWrap w:val="0"/>
            <w:vAlign w:val="center"/>
          </w:tcPr>
          <w:p w14:paraId="7F1A080D">
            <w:pPr>
              <w:pStyle w:val="45"/>
              <w:bidi w:val="0"/>
              <w:spacing w:line="240" w:lineRule="auto"/>
              <w:jc w:val="center"/>
              <w:rPr>
                <w:rFonts w:hint="default" w:ascii="Times New Roman" w:hAnsi="Times New Roman" w:eastAsia="宋体" w:cs="Times New Roman"/>
                <w:b/>
                <w:bCs w:val="0"/>
                <w:color w:val="auto"/>
              </w:rPr>
            </w:pPr>
            <w:r>
              <w:rPr>
                <w:rFonts w:hint="default" w:ascii="Times New Roman" w:hAnsi="Times New Roman" w:eastAsia="宋体" w:cs="Times New Roman"/>
                <w:b/>
                <w:bCs w:val="0"/>
                <w:color w:val="auto"/>
              </w:rPr>
              <w:t>规范距离（m）</w:t>
            </w:r>
          </w:p>
        </w:tc>
        <w:tc>
          <w:tcPr>
            <w:tcW w:w="1023" w:type="pct"/>
            <w:noWrap w:val="0"/>
            <w:vAlign w:val="center"/>
          </w:tcPr>
          <w:p w14:paraId="2A76EDA5">
            <w:pPr>
              <w:pStyle w:val="45"/>
              <w:bidi w:val="0"/>
              <w:spacing w:line="240" w:lineRule="auto"/>
              <w:jc w:val="center"/>
              <w:rPr>
                <w:rFonts w:hint="default" w:ascii="Times New Roman" w:hAnsi="Times New Roman" w:eastAsia="宋体" w:cs="Times New Roman"/>
                <w:b/>
                <w:bCs w:val="0"/>
                <w:color w:val="auto"/>
              </w:rPr>
            </w:pPr>
            <w:r>
              <w:rPr>
                <w:rFonts w:hint="default" w:ascii="Times New Roman" w:hAnsi="Times New Roman" w:eastAsia="宋体" w:cs="Times New Roman"/>
                <w:b/>
                <w:bCs w:val="0"/>
                <w:color w:val="auto"/>
              </w:rPr>
              <w:t>依据规范</w:t>
            </w:r>
          </w:p>
        </w:tc>
        <w:tc>
          <w:tcPr>
            <w:tcW w:w="514" w:type="pct"/>
            <w:noWrap w:val="0"/>
            <w:vAlign w:val="center"/>
          </w:tcPr>
          <w:p w14:paraId="78FB2B1B">
            <w:pPr>
              <w:pStyle w:val="45"/>
              <w:bidi w:val="0"/>
              <w:spacing w:line="240" w:lineRule="auto"/>
              <w:jc w:val="center"/>
              <w:rPr>
                <w:rFonts w:hint="default" w:ascii="Times New Roman" w:hAnsi="Times New Roman" w:eastAsia="宋体" w:cs="Times New Roman"/>
                <w:b/>
                <w:bCs w:val="0"/>
                <w:color w:val="auto"/>
              </w:rPr>
            </w:pPr>
            <w:r>
              <w:rPr>
                <w:rFonts w:hint="default" w:ascii="Times New Roman" w:hAnsi="Times New Roman" w:eastAsia="宋体" w:cs="Times New Roman"/>
                <w:b/>
                <w:bCs w:val="0"/>
                <w:color w:val="auto"/>
              </w:rPr>
              <w:t>符合性</w:t>
            </w:r>
          </w:p>
        </w:tc>
      </w:tr>
      <w:tr w14:paraId="15D146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726" w:type="pct"/>
            <w:vMerge w:val="restart"/>
            <w:noWrap w:val="0"/>
            <w:vAlign w:val="center"/>
          </w:tcPr>
          <w:p w14:paraId="64A2602E">
            <w:pPr>
              <w:pStyle w:val="4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撬装加油装置</w:t>
            </w:r>
          </w:p>
        </w:tc>
        <w:tc>
          <w:tcPr>
            <w:tcW w:w="380" w:type="pct"/>
            <w:noWrap w:val="0"/>
            <w:vAlign w:val="center"/>
          </w:tcPr>
          <w:p w14:paraId="14BEFC89">
            <w:pPr>
              <w:pStyle w:val="45"/>
              <w:bidi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东</w:t>
            </w:r>
          </w:p>
        </w:tc>
        <w:tc>
          <w:tcPr>
            <w:tcW w:w="913" w:type="pct"/>
            <w:noWrap w:val="0"/>
            <w:vAlign w:val="center"/>
          </w:tcPr>
          <w:p w14:paraId="2FF9E61C">
            <w:pPr>
              <w:pStyle w:val="45"/>
              <w:bidi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卧式砂仓</w:t>
            </w:r>
          </w:p>
        </w:tc>
        <w:tc>
          <w:tcPr>
            <w:tcW w:w="721" w:type="pct"/>
            <w:noWrap w:val="0"/>
            <w:vAlign w:val="center"/>
          </w:tcPr>
          <w:p w14:paraId="210F8C39">
            <w:pPr>
              <w:pStyle w:val="45"/>
              <w:bidi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28.5</w:t>
            </w:r>
          </w:p>
        </w:tc>
        <w:tc>
          <w:tcPr>
            <w:tcW w:w="719" w:type="pct"/>
            <w:noWrap w:val="0"/>
            <w:vAlign w:val="center"/>
          </w:tcPr>
          <w:p w14:paraId="36029379">
            <w:pPr>
              <w:pStyle w:val="4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16</w:t>
            </w:r>
          </w:p>
        </w:tc>
        <w:tc>
          <w:tcPr>
            <w:tcW w:w="1023" w:type="pct"/>
            <w:vMerge w:val="restart"/>
            <w:noWrap w:val="0"/>
            <w:vAlign w:val="center"/>
          </w:tcPr>
          <w:p w14:paraId="440E63FC">
            <w:pPr>
              <w:pStyle w:val="45"/>
              <w:bidi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SH/T3134-20</w:t>
            </w:r>
            <w:r>
              <w:rPr>
                <w:rFonts w:hint="default" w:ascii="Times New Roman" w:hAnsi="Times New Roman" w:eastAsia="宋体" w:cs="Times New Roman"/>
                <w:color w:val="auto"/>
                <w:lang w:val="en-US" w:eastAsia="zh-CN"/>
              </w:rPr>
              <w:t>23</w:t>
            </w:r>
          </w:p>
          <w:p w14:paraId="4DA45C07">
            <w:pPr>
              <w:pStyle w:val="4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第</w:t>
            </w:r>
            <w:r>
              <w:rPr>
                <w:rFonts w:hint="default" w:ascii="Times New Roman" w:hAnsi="Times New Roman" w:eastAsia="宋体" w:cs="Times New Roman"/>
                <w:color w:val="auto"/>
                <w:lang w:val="en-US" w:eastAsia="zh-CN"/>
              </w:rPr>
              <w:t>5.1.4</w:t>
            </w:r>
            <w:r>
              <w:rPr>
                <w:rFonts w:hint="default" w:ascii="Times New Roman" w:hAnsi="Times New Roman" w:eastAsia="宋体" w:cs="Times New Roman"/>
                <w:color w:val="auto"/>
              </w:rPr>
              <w:t>条</w:t>
            </w:r>
          </w:p>
        </w:tc>
        <w:tc>
          <w:tcPr>
            <w:tcW w:w="514" w:type="pct"/>
            <w:noWrap w:val="0"/>
            <w:vAlign w:val="center"/>
          </w:tcPr>
          <w:p w14:paraId="53B62157">
            <w:pPr>
              <w:pStyle w:val="4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符合</w:t>
            </w:r>
          </w:p>
        </w:tc>
      </w:tr>
      <w:tr w14:paraId="27F394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726" w:type="pct"/>
            <w:vMerge w:val="continue"/>
            <w:noWrap w:val="0"/>
            <w:vAlign w:val="center"/>
          </w:tcPr>
          <w:p w14:paraId="2F12FF8F">
            <w:pPr>
              <w:pStyle w:val="45"/>
              <w:bidi w:val="0"/>
              <w:spacing w:line="240" w:lineRule="auto"/>
              <w:jc w:val="center"/>
              <w:rPr>
                <w:rFonts w:hint="default" w:ascii="Times New Roman" w:hAnsi="Times New Roman" w:eastAsia="宋体" w:cs="Times New Roman"/>
                <w:color w:val="auto"/>
              </w:rPr>
            </w:pPr>
          </w:p>
        </w:tc>
        <w:tc>
          <w:tcPr>
            <w:tcW w:w="380" w:type="pct"/>
            <w:tcBorders>
              <w:top w:val="nil"/>
            </w:tcBorders>
            <w:noWrap w:val="0"/>
            <w:vAlign w:val="center"/>
          </w:tcPr>
          <w:p w14:paraId="7A0AF9CB">
            <w:pPr>
              <w:pStyle w:val="45"/>
              <w:bidi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东南</w:t>
            </w:r>
          </w:p>
        </w:tc>
        <w:tc>
          <w:tcPr>
            <w:tcW w:w="913" w:type="pct"/>
            <w:noWrap w:val="0"/>
            <w:vAlign w:val="center"/>
          </w:tcPr>
          <w:p w14:paraId="5E66CC51">
            <w:pPr>
              <w:pStyle w:val="45"/>
              <w:bidi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卷扬机房</w:t>
            </w:r>
          </w:p>
        </w:tc>
        <w:tc>
          <w:tcPr>
            <w:tcW w:w="721" w:type="pct"/>
            <w:noWrap w:val="0"/>
            <w:vAlign w:val="center"/>
          </w:tcPr>
          <w:p w14:paraId="31AB7390">
            <w:pPr>
              <w:pStyle w:val="45"/>
              <w:bidi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28.3</w:t>
            </w:r>
          </w:p>
        </w:tc>
        <w:tc>
          <w:tcPr>
            <w:tcW w:w="719" w:type="pct"/>
            <w:noWrap w:val="0"/>
            <w:vAlign w:val="center"/>
          </w:tcPr>
          <w:p w14:paraId="5A3F48F4">
            <w:pPr>
              <w:pStyle w:val="4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16</w:t>
            </w:r>
          </w:p>
        </w:tc>
        <w:tc>
          <w:tcPr>
            <w:tcW w:w="1023" w:type="pct"/>
            <w:vMerge w:val="continue"/>
            <w:noWrap w:val="0"/>
            <w:vAlign w:val="center"/>
          </w:tcPr>
          <w:p w14:paraId="37A8E7D4">
            <w:pPr>
              <w:pStyle w:val="45"/>
              <w:bidi w:val="0"/>
              <w:spacing w:line="240" w:lineRule="auto"/>
              <w:jc w:val="center"/>
              <w:rPr>
                <w:rFonts w:hint="default" w:ascii="Times New Roman" w:hAnsi="Times New Roman" w:eastAsia="宋体" w:cs="Times New Roman"/>
                <w:color w:val="auto"/>
              </w:rPr>
            </w:pPr>
          </w:p>
        </w:tc>
        <w:tc>
          <w:tcPr>
            <w:tcW w:w="514" w:type="pct"/>
            <w:noWrap w:val="0"/>
            <w:vAlign w:val="center"/>
          </w:tcPr>
          <w:p w14:paraId="69396520">
            <w:pPr>
              <w:pStyle w:val="4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符合</w:t>
            </w:r>
          </w:p>
        </w:tc>
      </w:tr>
      <w:tr w14:paraId="01BF03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726" w:type="pct"/>
            <w:vMerge w:val="continue"/>
            <w:noWrap w:val="0"/>
            <w:vAlign w:val="center"/>
          </w:tcPr>
          <w:p w14:paraId="290042D6">
            <w:pPr>
              <w:pStyle w:val="45"/>
              <w:bidi w:val="0"/>
              <w:spacing w:line="240" w:lineRule="auto"/>
              <w:jc w:val="center"/>
              <w:rPr>
                <w:rFonts w:hint="default" w:ascii="Times New Roman" w:hAnsi="Times New Roman" w:eastAsia="宋体" w:cs="Times New Roman"/>
                <w:color w:val="auto"/>
              </w:rPr>
            </w:pPr>
          </w:p>
        </w:tc>
        <w:tc>
          <w:tcPr>
            <w:tcW w:w="380" w:type="pct"/>
            <w:noWrap w:val="0"/>
            <w:vAlign w:val="center"/>
          </w:tcPr>
          <w:p w14:paraId="21362CF4">
            <w:pPr>
              <w:pStyle w:val="45"/>
              <w:bidi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西南</w:t>
            </w:r>
          </w:p>
        </w:tc>
        <w:tc>
          <w:tcPr>
            <w:tcW w:w="913" w:type="pct"/>
            <w:noWrap w:val="0"/>
            <w:vAlign w:val="center"/>
          </w:tcPr>
          <w:p w14:paraId="69F46068">
            <w:pPr>
              <w:pStyle w:val="45"/>
              <w:bidi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矿堆场</w:t>
            </w:r>
          </w:p>
        </w:tc>
        <w:tc>
          <w:tcPr>
            <w:tcW w:w="721" w:type="pct"/>
            <w:noWrap w:val="0"/>
            <w:vAlign w:val="center"/>
          </w:tcPr>
          <w:p w14:paraId="2F1E5F5E">
            <w:pPr>
              <w:pStyle w:val="45"/>
              <w:bidi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16.1</w:t>
            </w:r>
          </w:p>
        </w:tc>
        <w:tc>
          <w:tcPr>
            <w:tcW w:w="719" w:type="pct"/>
            <w:noWrap w:val="0"/>
            <w:vAlign w:val="center"/>
          </w:tcPr>
          <w:p w14:paraId="0AC7428B">
            <w:pPr>
              <w:pStyle w:val="45"/>
              <w:bidi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16</w:t>
            </w:r>
          </w:p>
        </w:tc>
        <w:tc>
          <w:tcPr>
            <w:tcW w:w="1023" w:type="pct"/>
            <w:vMerge w:val="continue"/>
            <w:noWrap w:val="0"/>
            <w:vAlign w:val="center"/>
          </w:tcPr>
          <w:p w14:paraId="5115456A">
            <w:pPr>
              <w:pStyle w:val="45"/>
              <w:bidi w:val="0"/>
              <w:spacing w:line="240" w:lineRule="auto"/>
              <w:jc w:val="center"/>
              <w:rPr>
                <w:rFonts w:hint="default" w:ascii="Times New Roman" w:hAnsi="Times New Roman" w:eastAsia="宋体" w:cs="Times New Roman"/>
                <w:color w:val="auto"/>
              </w:rPr>
            </w:pPr>
          </w:p>
        </w:tc>
        <w:tc>
          <w:tcPr>
            <w:tcW w:w="514" w:type="pct"/>
            <w:noWrap w:val="0"/>
            <w:vAlign w:val="center"/>
          </w:tcPr>
          <w:p w14:paraId="52E0F815">
            <w:pPr>
              <w:pStyle w:val="4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符合</w:t>
            </w:r>
          </w:p>
        </w:tc>
      </w:tr>
      <w:tr w14:paraId="5A3A3E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726" w:type="pct"/>
            <w:vMerge w:val="restart"/>
            <w:noWrap w:val="0"/>
            <w:vAlign w:val="center"/>
          </w:tcPr>
          <w:p w14:paraId="6A53D233">
            <w:pPr>
              <w:pStyle w:val="45"/>
              <w:bidi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加油机</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通气管口</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油气回收装置</w:t>
            </w:r>
          </w:p>
        </w:tc>
        <w:tc>
          <w:tcPr>
            <w:tcW w:w="380" w:type="pct"/>
            <w:noWrap w:val="0"/>
            <w:vAlign w:val="center"/>
          </w:tcPr>
          <w:p w14:paraId="350FA324">
            <w:pPr>
              <w:pStyle w:val="45"/>
              <w:bidi w:val="0"/>
              <w:spacing w:line="240" w:lineRule="auto"/>
              <w:ind w:left="0" w:leftChars="0"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东</w:t>
            </w:r>
          </w:p>
        </w:tc>
        <w:tc>
          <w:tcPr>
            <w:tcW w:w="913" w:type="pct"/>
            <w:noWrap w:val="0"/>
            <w:vAlign w:val="center"/>
          </w:tcPr>
          <w:p w14:paraId="04F00E13">
            <w:pPr>
              <w:pStyle w:val="4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卧式砂仓</w:t>
            </w:r>
          </w:p>
        </w:tc>
        <w:tc>
          <w:tcPr>
            <w:tcW w:w="721" w:type="pct"/>
            <w:noWrap w:val="0"/>
            <w:vAlign w:val="center"/>
          </w:tcPr>
          <w:p w14:paraId="6D173733">
            <w:pPr>
              <w:pStyle w:val="45"/>
              <w:bidi w:val="0"/>
              <w:spacing w:line="240" w:lineRule="auto"/>
              <w:ind w:left="0" w:leftChars="0"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28.5</w:t>
            </w:r>
          </w:p>
        </w:tc>
        <w:tc>
          <w:tcPr>
            <w:tcW w:w="719" w:type="pct"/>
            <w:noWrap w:val="0"/>
            <w:vAlign w:val="center"/>
          </w:tcPr>
          <w:p w14:paraId="3234DF1A">
            <w:pPr>
              <w:pStyle w:val="4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9</w:t>
            </w:r>
          </w:p>
        </w:tc>
        <w:tc>
          <w:tcPr>
            <w:tcW w:w="1023" w:type="pct"/>
            <w:vMerge w:val="restart"/>
            <w:noWrap w:val="0"/>
            <w:vAlign w:val="center"/>
          </w:tcPr>
          <w:p w14:paraId="2E1B56EC">
            <w:pPr>
              <w:pStyle w:val="4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GB50156-2021</w:t>
            </w:r>
          </w:p>
          <w:p w14:paraId="6313BD7D">
            <w:pPr>
              <w:pStyle w:val="4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第4.0.4条</w:t>
            </w:r>
          </w:p>
        </w:tc>
        <w:tc>
          <w:tcPr>
            <w:tcW w:w="514" w:type="pct"/>
            <w:noWrap w:val="0"/>
            <w:vAlign w:val="center"/>
          </w:tcPr>
          <w:p w14:paraId="44234021">
            <w:pPr>
              <w:pStyle w:val="4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符合</w:t>
            </w:r>
          </w:p>
        </w:tc>
      </w:tr>
      <w:tr w14:paraId="6F1F8F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726" w:type="pct"/>
            <w:vMerge w:val="continue"/>
            <w:noWrap w:val="0"/>
            <w:vAlign w:val="center"/>
          </w:tcPr>
          <w:p w14:paraId="74822F59">
            <w:pPr>
              <w:pStyle w:val="45"/>
              <w:bidi w:val="0"/>
              <w:spacing w:line="240" w:lineRule="auto"/>
              <w:jc w:val="center"/>
              <w:rPr>
                <w:rFonts w:hint="default" w:ascii="Times New Roman" w:hAnsi="Times New Roman" w:eastAsia="宋体" w:cs="Times New Roman"/>
                <w:color w:val="auto"/>
              </w:rPr>
            </w:pPr>
          </w:p>
        </w:tc>
        <w:tc>
          <w:tcPr>
            <w:tcW w:w="380" w:type="pct"/>
            <w:tcBorders>
              <w:top w:val="nil"/>
            </w:tcBorders>
            <w:noWrap w:val="0"/>
            <w:vAlign w:val="center"/>
          </w:tcPr>
          <w:p w14:paraId="3496C151">
            <w:pPr>
              <w:pStyle w:val="45"/>
              <w:bidi w:val="0"/>
              <w:spacing w:line="240" w:lineRule="auto"/>
              <w:ind w:left="0" w:leftChars="0"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东南</w:t>
            </w:r>
          </w:p>
        </w:tc>
        <w:tc>
          <w:tcPr>
            <w:tcW w:w="913" w:type="pct"/>
            <w:noWrap w:val="0"/>
            <w:vAlign w:val="center"/>
          </w:tcPr>
          <w:p w14:paraId="57CB3E4B">
            <w:pPr>
              <w:pStyle w:val="4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卷扬机房</w:t>
            </w:r>
          </w:p>
        </w:tc>
        <w:tc>
          <w:tcPr>
            <w:tcW w:w="721" w:type="pct"/>
            <w:noWrap w:val="0"/>
            <w:vAlign w:val="center"/>
          </w:tcPr>
          <w:p w14:paraId="718A2B0F">
            <w:pPr>
              <w:pStyle w:val="45"/>
              <w:bidi w:val="0"/>
              <w:spacing w:line="240" w:lineRule="auto"/>
              <w:ind w:left="0" w:leftChars="0"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28.3</w:t>
            </w:r>
          </w:p>
        </w:tc>
        <w:tc>
          <w:tcPr>
            <w:tcW w:w="719" w:type="pct"/>
            <w:noWrap w:val="0"/>
            <w:vAlign w:val="center"/>
          </w:tcPr>
          <w:p w14:paraId="3AB9EC08">
            <w:pPr>
              <w:pStyle w:val="4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9</w:t>
            </w:r>
          </w:p>
        </w:tc>
        <w:tc>
          <w:tcPr>
            <w:tcW w:w="1023" w:type="pct"/>
            <w:vMerge w:val="continue"/>
            <w:tcBorders>
              <w:top w:val="nil"/>
            </w:tcBorders>
            <w:noWrap w:val="0"/>
            <w:vAlign w:val="center"/>
          </w:tcPr>
          <w:p w14:paraId="0FDF99C4">
            <w:pPr>
              <w:pStyle w:val="45"/>
              <w:bidi w:val="0"/>
              <w:spacing w:line="240" w:lineRule="auto"/>
              <w:jc w:val="center"/>
              <w:rPr>
                <w:rFonts w:hint="default" w:ascii="Times New Roman" w:hAnsi="Times New Roman" w:eastAsia="宋体" w:cs="Times New Roman"/>
                <w:color w:val="auto"/>
              </w:rPr>
            </w:pPr>
          </w:p>
        </w:tc>
        <w:tc>
          <w:tcPr>
            <w:tcW w:w="514" w:type="pct"/>
            <w:noWrap w:val="0"/>
            <w:vAlign w:val="center"/>
          </w:tcPr>
          <w:p w14:paraId="52E1FCA9">
            <w:pPr>
              <w:pStyle w:val="4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符合</w:t>
            </w:r>
          </w:p>
        </w:tc>
      </w:tr>
      <w:tr w14:paraId="298EC4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726" w:type="pct"/>
            <w:vMerge w:val="continue"/>
            <w:noWrap w:val="0"/>
            <w:vAlign w:val="center"/>
          </w:tcPr>
          <w:p w14:paraId="3D04F264">
            <w:pPr>
              <w:pStyle w:val="45"/>
              <w:bidi w:val="0"/>
              <w:spacing w:line="240" w:lineRule="auto"/>
              <w:jc w:val="center"/>
              <w:rPr>
                <w:rFonts w:hint="default" w:ascii="Times New Roman" w:hAnsi="Times New Roman" w:eastAsia="宋体" w:cs="Times New Roman"/>
                <w:color w:val="auto"/>
                <w:lang w:val="en-US" w:eastAsia="zh-CN"/>
              </w:rPr>
            </w:pPr>
          </w:p>
        </w:tc>
        <w:tc>
          <w:tcPr>
            <w:tcW w:w="380" w:type="pct"/>
            <w:noWrap w:val="0"/>
            <w:vAlign w:val="center"/>
          </w:tcPr>
          <w:p w14:paraId="17521A0B">
            <w:pPr>
              <w:pStyle w:val="45"/>
              <w:bidi w:val="0"/>
              <w:spacing w:line="240" w:lineRule="auto"/>
              <w:ind w:left="0" w:leftChars="0"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西南</w:t>
            </w:r>
          </w:p>
        </w:tc>
        <w:tc>
          <w:tcPr>
            <w:tcW w:w="913" w:type="pct"/>
            <w:noWrap w:val="0"/>
            <w:vAlign w:val="center"/>
          </w:tcPr>
          <w:p w14:paraId="14A69405">
            <w:pPr>
              <w:pStyle w:val="4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矿堆场</w:t>
            </w:r>
          </w:p>
        </w:tc>
        <w:tc>
          <w:tcPr>
            <w:tcW w:w="721" w:type="pct"/>
            <w:noWrap w:val="0"/>
            <w:vAlign w:val="center"/>
          </w:tcPr>
          <w:p w14:paraId="6C74ED56">
            <w:pPr>
              <w:pStyle w:val="45"/>
              <w:bidi w:val="0"/>
              <w:spacing w:line="240" w:lineRule="auto"/>
              <w:ind w:left="0" w:leftChars="0"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16.1</w:t>
            </w:r>
          </w:p>
        </w:tc>
        <w:tc>
          <w:tcPr>
            <w:tcW w:w="719" w:type="pct"/>
            <w:noWrap w:val="0"/>
            <w:vAlign w:val="center"/>
          </w:tcPr>
          <w:p w14:paraId="6BDCE6E3">
            <w:pPr>
              <w:pStyle w:val="45"/>
              <w:bidi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w:t>
            </w:r>
          </w:p>
        </w:tc>
        <w:tc>
          <w:tcPr>
            <w:tcW w:w="1023" w:type="pct"/>
            <w:vMerge w:val="continue"/>
            <w:tcBorders>
              <w:top w:val="nil"/>
            </w:tcBorders>
            <w:noWrap w:val="0"/>
            <w:vAlign w:val="center"/>
          </w:tcPr>
          <w:p w14:paraId="25BA98C1">
            <w:pPr>
              <w:pStyle w:val="45"/>
              <w:bidi w:val="0"/>
              <w:spacing w:line="240" w:lineRule="auto"/>
              <w:jc w:val="center"/>
              <w:rPr>
                <w:rFonts w:hint="default" w:ascii="Times New Roman" w:hAnsi="Times New Roman" w:eastAsia="宋体" w:cs="Times New Roman"/>
                <w:color w:val="auto"/>
              </w:rPr>
            </w:pPr>
          </w:p>
        </w:tc>
        <w:tc>
          <w:tcPr>
            <w:tcW w:w="514" w:type="pct"/>
            <w:noWrap w:val="0"/>
            <w:vAlign w:val="center"/>
          </w:tcPr>
          <w:p w14:paraId="77DE80AE">
            <w:pPr>
              <w:pStyle w:val="4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符合</w:t>
            </w:r>
          </w:p>
        </w:tc>
      </w:tr>
    </w:tbl>
    <w:p w14:paraId="0BD9F26F">
      <w:pPr>
        <w:pStyle w:val="3"/>
        <w:bidi w:val="0"/>
        <w:rPr>
          <w:rFonts w:hint="default"/>
          <w:lang w:val="en-US" w:eastAsia="zh-CN"/>
        </w:rPr>
      </w:pPr>
      <w:bookmarkStart w:id="28" w:name="_Toc21179"/>
      <w:r>
        <w:rPr>
          <w:rFonts w:hint="default"/>
          <w:lang w:val="en-US" w:eastAsia="zh-CN"/>
        </w:rPr>
        <w:t>2.5 建设项目工艺流程</w:t>
      </w:r>
      <w:bookmarkEnd w:id="28"/>
    </w:p>
    <w:p w14:paraId="5180B53E">
      <w:pPr>
        <w:pStyle w:val="4"/>
        <w:bidi w:val="0"/>
        <w:rPr>
          <w:rFonts w:hint="default"/>
          <w:lang w:val="en-US" w:eastAsia="zh-CN"/>
        </w:rPr>
      </w:pPr>
      <w:bookmarkStart w:id="29" w:name="_Toc3763"/>
      <w:r>
        <w:rPr>
          <w:rFonts w:hint="default"/>
          <w:lang w:val="en-US" w:eastAsia="zh-CN"/>
        </w:rPr>
        <w:t>2.5.1</w:t>
      </w:r>
      <w:r>
        <w:rPr>
          <w:rFonts w:hint="eastAsia"/>
          <w:lang w:val="en-US" w:eastAsia="zh-CN"/>
        </w:rPr>
        <w:t xml:space="preserve"> </w:t>
      </w:r>
      <w:r>
        <w:rPr>
          <w:rFonts w:hint="default"/>
          <w:lang w:val="en-US" w:eastAsia="zh-CN"/>
        </w:rPr>
        <w:t>工艺流程</w:t>
      </w:r>
      <w:bookmarkEnd w:id="29"/>
    </w:p>
    <w:p w14:paraId="2525CFD7">
      <w:pPr>
        <w:rPr>
          <w:rFonts w:hint="default"/>
          <w:lang w:val="en-US" w:eastAsia="zh-CN"/>
        </w:rPr>
      </w:pPr>
      <w:r>
        <w:rPr>
          <w:rFonts w:hint="default"/>
          <w:lang w:val="en-US" w:eastAsia="zh-CN"/>
        </w:rPr>
        <w:t>本项目严禁加油、卸油同时作业。</w:t>
      </w:r>
    </w:p>
    <w:p w14:paraId="1CB59174">
      <w:pPr>
        <w:rPr>
          <w:rFonts w:hint="default"/>
          <w:lang w:val="en-US" w:eastAsia="zh-CN"/>
        </w:rPr>
      </w:pPr>
      <w:r>
        <w:rPr>
          <w:rFonts w:hint="eastAsia"/>
          <w:lang w:val="en-US" w:eastAsia="zh-CN"/>
        </w:rPr>
        <w:t>1. 卸油工艺</w:t>
      </w:r>
    </w:p>
    <w:p w14:paraId="553C41C7">
      <w:pPr>
        <w:rPr>
          <w:rFonts w:hint="default"/>
          <w:lang w:val="en-US" w:eastAsia="zh-CN"/>
        </w:rPr>
      </w:pPr>
      <w:r>
        <w:rPr>
          <w:rFonts w:hint="default"/>
          <w:lang w:val="en-US" w:eastAsia="zh-CN"/>
        </w:rPr>
        <w:t>油料用油罐车从油库运至橇装装置卸油后，在卸油口附近停稳熄火，先用加油装置的静电接地导线与油罐车卸油设施连接在一起并在附近放好消防器材，静置15min清除静电。然后用快速接头将油罐车的卸油管与储油罐的快速密闭卸油口连接在一起，同时做好相关防渗漏措施（在油管接口下方放置油气防散流收集托盘）后再开始卸油，通过量油孔计量需要卸油量。油品卸完后，检查没有溢油、漏油后，人工封闭好油罐进油口和罐车卸油口，拆除连通软管及静电接地装置。静置5min以后发动油品罐车缓慢离开罐区。橇装装置设柴油油气回收系统。在油罐车卸油过程中，将原来储油罐内散益的油气，通过油气回收地下工艺管线及卸车软管重新收集至油罐车内，实现卸油与油气等体积置换。</w:t>
      </w:r>
    </w:p>
    <w:p w14:paraId="522C89F4">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default"/>
          <w:lang w:val="en-US" w:eastAsia="zh-CN"/>
        </w:rPr>
      </w:pPr>
      <w:r>
        <w:rPr>
          <w:rFonts w:hint="default"/>
          <w:color w:val="auto"/>
          <w:lang w:val="en-US" w:eastAsia="zh-CN"/>
        </w:rPr>
        <w:drawing>
          <wp:inline distT="0" distB="0" distL="114300" distR="114300">
            <wp:extent cx="5039995" cy="1418590"/>
            <wp:effectExtent l="0" t="0" r="8255" b="10160"/>
            <wp:docPr id="8" name="图片 2" descr="1752737614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descr="1752737614809"/>
                    <pic:cNvPicPr>
                      <a:picLocks noChangeAspect="1"/>
                    </pic:cNvPicPr>
                  </pic:nvPicPr>
                  <pic:blipFill>
                    <a:blip r:embed="rId10"/>
                    <a:stretch>
                      <a:fillRect/>
                    </a:stretch>
                  </pic:blipFill>
                  <pic:spPr>
                    <a:xfrm>
                      <a:off x="0" y="0"/>
                      <a:ext cx="5039995" cy="1418590"/>
                    </a:xfrm>
                    <a:prstGeom prst="rect">
                      <a:avLst/>
                    </a:prstGeom>
                    <a:noFill/>
                    <a:ln>
                      <a:noFill/>
                    </a:ln>
                  </pic:spPr>
                </pic:pic>
              </a:graphicData>
            </a:graphic>
          </wp:inline>
        </w:drawing>
      </w:r>
    </w:p>
    <w:p w14:paraId="7106FEA3">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default"/>
          <w:lang w:val="en-US" w:eastAsia="zh-CN"/>
        </w:rPr>
      </w:pPr>
      <w:r>
        <w:rPr>
          <w:rFonts w:hint="eastAsia"/>
          <w:lang w:val="en-US" w:eastAsia="zh-CN"/>
        </w:rPr>
        <w:t>图2.5-1 卸油工艺流程图</w:t>
      </w:r>
    </w:p>
    <w:p w14:paraId="559A5668">
      <w:pPr>
        <w:rPr>
          <w:rFonts w:hint="default"/>
          <w:lang w:val="en-US" w:eastAsia="zh-CN"/>
        </w:rPr>
      </w:pPr>
      <w:r>
        <w:rPr>
          <w:rFonts w:hint="eastAsia"/>
          <w:lang w:val="en-US" w:eastAsia="zh-CN"/>
        </w:rPr>
        <w:t>2. 加油工艺</w:t>
      </w:r>
    </w:p>
    <w:p w14:paraId="45919926">
      <w:pPr>
        <w:rPr>
          <w:rFonts w:hint="default"/>
          <w:lang w:val="en-US" w:eastAsia="zh-CN"/>
        </w:rPr>
      </w:pPr>
      <w:r>
        <w:rPr>
          <w:rFonts w:hint="default"/>
          <w:lang w:val="en-US" w:eastAsia="zh-CN"/>
        </w:rPr>
        <w:t>自用撬装加油装置采用自吸式加油机加油。加油时将车辆油箱盖打开，将加油枪插入油箱中，开启油泵，油品经管线由油槽内吸取至加油机，经过滤器过滤后油品流入油箱。</w:t>
      </w:r>
    </w:p>
    <w:p w14:paraId="679B7406">
      <w:pPr>
        <w:ind w:left="0" w:leftChars="0" w:firstLine="0" w:firstLineChars="0"/>
        <w:jc w:val="center"/>
        <w:rPr>
          <w:rFonts w:hint="default"/>
          <w:lang w:val="en-US" w:eastAsia="zh-CN"/>
        </w:rPr>
      </w:pPr>
      <w:r>
        <w:rPr>
          <w:rFonts w:hint="default"/>
          <w:color w:val="auto"/>
          <w:lang w:val="en-US" w:eastAsia="zh-CN"/>
        </w:rPr>
        <w:drawing>
          <wp:inline distT="0" distB="0" distL="114300" distR="114300">
            <wp:extent cx="5039995" cy="1179830"/>
            <wp:effectExtent l="0" t="0" r="8255" b="1270"/>
            <wp:docPr id="9" name="图片 3" descr="1752737669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descr="1752737669325"/>
                    <pic:cNvPicPr>
                      <a:picLocks noChangeAspect="1"/>
                    </pic:cNvPicPr>
                  </pic:nvPicPr>
                  <pic:blipFill>
                    <a:blip r:embed="rId11"/>
                    <a:stretch>
                      <a:fillRect/>
                    </a:stretch>
                  </pic:blipFill>
                  <pic:spPr>
                    <a:xfrm>
                      <a:off x="0" y="0"/>
                      <a:ext cx="5039995" cy="1179830"/>
                    </a:xfrm>
                    <a:prstGeom prst="rect">
                      <a:avLst/>
                    </a:prstGeom>
                    <a:noFill/>
                    <a:ln>
                      <a:noFill/>
                    </a:ln>
                  </pic:spPr>
                </pic:pic>
              </a:graphicData>
            </a:graphic>
          </wp:inline>
        </w:drawing>
      </w:r>
    </w:p>
    <w:p w14:paraId="75367CC1">
      <w:pPr>
        <w:ind w:left="0" w:leftChars="0" w:firstLine="0" w:firstLineChars="0"/>
        <w:jc w:val="center"/>
        <w:rPr>
          <w:rFonts w:hint="default"/>
          <w:lang w:val="en-US" w:eastAsia="zh-CN"/>
        </w:rPr>
      </w:pPr>
      <w:r>
        <w:rPr>
          <w:rFonts w:hint="default"/>
          <w:lang w:val="en-US" w:eastAsia="zh-CN"/>
        </w:rPr>
        <w:t>图2.5-2 加油工艺流程图</w:t>
      </w:r>
    </w:p>
    <w:p w14:paraId="11F60213">
      <w:pPr>
        <w:pStyle w:val="4"/>
        <w:bidi w:val="0"/>
        <w:rPr>
          <w:rFonts w:hint="default"/>
          <w:lang w:val="en-US" w:eastAsia="zh-CN"/>
        </w:rPr>
      </w:pPr>
      <w:bookmarkStart w:id="30" w:name="_Toc1392"/>
      <w:r>
        <w:rPr>
          <w:rFonts w:hint="eastAsia"/>
          <w:lang w:val="en-US" w:eastAsia="zh-CN"/>
        </w:rPr>
        <w:t xml:space="preserve">2.5.2 </w:t>
      </w:r>
      <w:r>
        <w:rPr>
          <w:rFonts w:hint="default"/>
          <w:lang w:val="en-US" w:eastAsia="zh-CN"/>
        </w:rPr>
        <w:t>上下游生产装置的关系</w:t>
      </w:r>
      <w:bookmarkEnd w:id="30"/>
    </w:p>
    <w:p w14:paraId="0085A05B">
      <w:pPr>
        <w:rPr>
          <w:rFonts w:hint="default"/>
          <w:lang w:val="en-US" w:eastAsia="zh-CN"/>
        </w:rPr>
      </w:pPr>
      <w:r>
        <w:rPr>
          <w:rFonts w:hint="default"/>
          <w:lang w:val="en-US" w:eastAsia="zh-CN"/>
        </w:rPr>
        <w:t>自用撬装加油装置通过卸油泵，由油罐车将柴油输送至自用撬装加油装置的柴油储罐，再通过自用撬装加油装置的加油机，加注至待加油机动车辆。</w:t>
      </w:r>
    </w:p>
    <w:p w14:paraId="3540BEE7">
      <w:pPr>
        <w:pStyle w:val="3"/>
        <w:bidi w:val="0"/>
        <w:rPr>
          <w:rFonts w:hint="default"/>
          <w:lang w:val="en-US" w:eastAsia="zh-CN"/>
        </w:rPr>
      </w:pPr>
      <w:bookmarkStart w:id="31" w:name="_Toc11963"/>
      <w:r>
        <w:rPr>
          <w:rFonts w:hint="default"/>
          <w:lang w:val="en-US" w:eastAsia="zh-CN"/>
        </w:rPr>
        <w:t>2.6 主要建构筑物、设备设施</w:t>
      </w:r>
      <w:bookmarkEnd w:id="31"/>
    </w:p>
    <w:p w14:paraId="4A2F44A0">
      <w:pPr>
        <w:rPr>
          <w:rFonts w:hint="default"/>
          <w:lang w:val="en-US" w:eastAsia="zh-CN"/>
        </w:rPr>
      </w:pPr>
      <w:r>
        <w:rPr>
          <w:rFonts w:hint="default"/>
          <w:lang w:val="en-US" w:eastAsia="zh-CN"/>
        </w:rPr>
        <w:t>1</w:t>
      </w:r>
      <w:r>
        <w:rPr>
          <w:rFonts w:hint="eastAsia"/>
          <w:lang w:val="en-US" w:eastAsia="zh-CN"/>
        </w:rPr>
        <w:t xml:space="preserve">. </w:t>
      </w:r>
      <w:r>
        <w:rPr>
          <w:rFonts w:hint="default"/>
          <w:lang w:val="en-US" w:eastAsia="zh-CN"/>
        </w:rPr>
        <w:t>主要建构筑物</w:t>
      </w:r>
    </w:p>
    <w:p w14:paraId="2123E0C7">
      <w:pPr>
        <w:rPr>
          <w:rFonts w:hint="default"/>
          <w:lang w:val="en-US" w:eastAsia="zh-CN"/>
        </w:rPr>
      </w:pPr>
      <w:r>
        <w:rPr>
          <w:rFonts w:hint="eastAsia"/>
          <w:lang w:val="en-US" w:eastAsia="zh-CN"/>
        </w:rPr>
        <w:t>本项目</w:t>
      </w:r>
      <w:r>
        <w:rPr>
          <w:rFonts w:hint="default"/>
          <w:lang w:val="en-US" w:eastAsia="zh-CN"/>
        </w:rPr>
        <w:t>主要建构筑物</w:t>
      </w:r>
      <w:r>
        <w:rPr>
          <w:rFonts w:hint="eastAsia"/>
          <w:lang w:val="en-US" w:eastAsia="zh-CN"/>
        </w:rPr>
        <w:t>情况</w:t>
      </w:r>
      <w:r>
        <w:rPr>
          <w:rFonts w:hint="default"/>
          <w:lang w:val="en-US" w:eastAsia="zh-CN"/>
        </w:rPr>
        <w:t>见表2.6-</w:t>
      </w:r>
      <w:r>
        <w:rPr>
          <w:rFonts w:hint="eastAsia"/>
          <w:lang w:val="en-US" w:eastAsia="zh-CN"/>
        </w:rPr>
        <w:t>1</w:t>
      </w:r>
      <w:r>
        <w:rPr>
          <w:rFonts w:hint="default"/>
          <w:lang w:val="en-US" w:eastAsia="zh-CN"/>
        </w:rPr>
        <w:t>：</w:t>
      </w:r>
    </w:p>
    <w:p w14:paraId="7B4413CA">
      <w:pPr>
        <w:ind w:left="0" w:leftChars="0" w:firstLine="0" w:firstLineChars="0"/>
        <w:jc w:val="center"/>
        <w:rPr>
          <w:rFonts w:hint="default"/>
          <w:lang w:val="en-US" w:eastAsia="zh-CN"/>
        </w:rPr>
      </w:pPr>
      <w:r>
        <w:rPr>
          <w:rFonts w:hint="default"/>
          <w:lang w:val="en-US" w:eastAsia="zh-CN"/>
        </w:rPr>
        <w:t>表2.6-1 建构筑物一览表</w:t>
      </w:r>
    </w:p>
    <w:tbl>
      <w:tblPr>
        <w:tblStyle w:val="20"/>
        <w:tblW w:w="5205"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9"/>
        <w:gridCol w:w="856"/>
        <w:gridCol w:w="542"/>
        <w:gridCol w:w="638"/>
        <w:gridCol w:w="593"/>
        <w:gridCol w:w="612"/>
        <w:gridCol w:w="5654"/>
      </w:tblGrid>
      <w:tr w14:paraId="25DD59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4" w:hRule="atLeast"/>
          <w:jc w:val="center"/>
        </w:trPr>
        <w:tc>
          <w:tcPr>
            <w:tcW w:w="295" w:type="pct"/>
            <w:noWrap w:val="0"/>
            <w:vAlign w:val="center"/>
          </w:tcPr>
          <w:p w14:paraId="77B771CE">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default" w:ascii="Times New Roman" w:hAnsi="Times New Roman" w:eastAsia="宋体" w:cs="Times New Roman"/>
                <w:b/>
                <w:bCs w:val="0"/>
                <w:color w:val="auto"/>
                <w:kern w:val="2"/>
                <w:sz w:val="21"/>
                <w:szCs w:val="21"/>
                <w:lang w:val="en-US" w:eastAsia="zh-CN" w:bidi="ar-SA"/>
              </w:rPr>
            </w:pPr>
            <w:r>
              <w:rPr>
                <w:rFonts w:hint="default" w:ascii="Times New Roman" w:hAnsi="Times New Roman" w:eastAsia="宋体" w:cs="Times New Roman"/>
                <w:b/>
                <w:bCs w:val="0"/>
                <w:color w:val="auto"/>
                <w:kern w:val="2"/>
                <w:sz w:val="21"/>
                <w:szCs w:val="21"/>
                <w:lang w:val="en-US" w:eastAsia="zh-CN" w:bidi="ar-SA"/>
              </w:rPr>
              <w:t>序号</w:t>
            </w:r>
          </w:p>
        </w:tc>
        <w:tc>
          <w:tcPr>
            <w:tcW w:w="452" w:type="pct"/>
            <w:noWrap w:val="0"/>
            <w:vAlign w:val="center"/>
          </w:tcPr>
          <w:p w14:paraId="7D4CBD30">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default" w:ascii="Times New Roman" w:hAnsi="Times New Roman" w:eastAsia="宋体" w:cs="Times New Roman"/>
                <w:b/>
                <w:bCs w:val="0"/>
                <w:color w:val="auto"/>
                <w:kern w:val="2"/>
                <w:sz w:val="21"/>
                <w:szCs w:val="21"/>
                <w:lang w:val="en-US" w:eastAsia="zh-CN" w:bidi="ar-SA"/>
              </w:rPr>
            </w:pPr>
            <w:r>
              <w:rPr>
                <w:rFonts w:hint="default" w:ascii="Times New Roman" w:hAnsi="Times New Roman" w:eastAsia="宋体" w:cs="Times New Roman"/>
                <w:b/>
                <w:bCs w:val="0"/>
                <w:color w:val="auto"/>
                <w:kern w:val="2"/>
                <w:sz w:val="21"/>
                <w:szCs w:val="21"/>
                <w:lang w:val="en-US" w:eastAsia="zh-CN" w:bidi="ar-SA"/>
              </w:rPr>
              <w:t>名称</w:t>
            </w:r>
          </w:p>
        </w:tc>
        <w:tc>
          <w:tcPr>
            <w:tcW w:w="286" w:type="pct"/>
            <w:noWrap w:val="0"/>
            <w:vAlign w:val="center"/>
          </w:tcPr>
          <w:p w14:paraId="2A255355">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default" w:ascii="Times New Roman" w:hAnsi="Times New Roman" w:eastAsia="宋体" w:cs="Times New Roman"/>
                <w:b/>
                <w:bCs w:val="0"/>
                <w:color w:val="auto"/>
                <w:kern w:val="2"/>
                <w:sz w:val="21"/>
                <w:szCs w:val="21"/>
                <w:lang w:val="en-US" w:eastAsia="zh-CN" w:bidi="ar-SA"/>
              </w:rPr>
            </w:pPr>
            <w:r>
              <w:rPr>
                <w:rFonts w:hint="default" w:ascii="Times New Roman" w:hAnsi="Times New Roman" w:eastAsia="宋体" w:cs="Times New Roman"/>
                <w:b/>
                <w:bCs w:val="0"/>
                <w:color w:val="auto"/>
                <w:kern w:val="2"/>
                <w:sz w:val="21"/>
                <w:szCs w:val="21"/>
                <w:lang w:val="en-US" w:eastAsia="zh-CN" w:bidi="ar-SA"/>
              </w:rPr>
              <w:t>数量</w:t>
            </w:r>
          </w:p>
        </w:tc>
        <w:tc>
          <w:tcPr>
            <w:tcW w:w="337" w:type="pct"/>
            <w:noWrap w:val="0"/>
            <w:vAlign w:val="center"/>
          </w:tcPr>
          <w:p w14:paraId="27771E20">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default" w:ascii="Times New Roman" w:hAnsi="Times New Roman" w:eastAsia="宋体" w:cs="Times New Roman"/>
                <w:b/>
                <w:bCs w:val="0"/>
                <w:color w:val="auto"/>
                <w:kern w:val="2"/>
                <w:sz w:val="21"/>
                <w:szCs w:val="21"/>
                <w:lang w:val="en-US" w:eastAsia="zh-CN" w:bidi="ar-SA"/>
              </w:rPr>
            </w:pPr>
            <w:r>
              <w:rPr>
                <w:rFonts w:hint="default" w:ascii="Times New Roman" w:hAnsi="Times New Roman" w:eastAsia="宋体" w:cs="Times New Roman"/>
                <w:b/>
                <w:bCs w:val="0"/>
                <w:color w:val="auto"/>
                <w:kern w:val="2"/>
                <w:sz w:val="21"/>
                <w:szCs w:val="21"/>
                <w:lang w:val="en-US" w:eastAsia="zh-CN" w:bidi="ar-SA"/>
              </w:rPr>
              <w:t>占地面积</w:t>
            </w:r>
          </w:p>
        </w:tc>
        <w:tc>
          <w:tcPr>
            <w:tcW w:w="313" w:type="pct"/>
            <w:noWrap w:val="0"/>
            <w:vAlign w:val="center"/>
          </w:tcPr>
          <w:p w14:paraId="493FC1FE">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default" w:ascii="Times New Roman" w:hAnsi="Times New Roman" w:eastAsia="宋体" w:cs="Times New Roman"/>
                <w:b/>
                <w:bCs w:val="0"/>
                <w:color w:val="auto"/>
                <w:kern w:val="2"/>
                <w:sz w:val="21"/>
                <w:szCs w:val="21"/>
                <w:lang w:val="en-US" w:eastAsia="zh-CN" w:bidi="ar-SA"/>
              </w:rPr>
            </w:pPr>
            <w:r>
              <w:rPr>
                <w:rFonts w:hint="default" w:ascii="Times New Roman" w:hAnsi="Times New Roman" w:eastAsia="宋体" w:cs="Times New Roman"/>
                <w:b/>
                <w:bCs w:val="0"/>
                <w:color w:val="auto"/>
                <w:kern w:val="2"/>
                <w:sz w:val="21"/>
                <w:szCs w:val="21"/>
                <w:lang w:val="en-US" w:eastAsia="zh-CN" w:bidi="ar-SA"/>
              </w:rPr>
              <w:t>火灾类别</w:t>
            </w:r>
          </w:p>
        </w:tc>
        <w:tc>
          <w:tcPr>
            <w:tcW w:w="323" w:type="pct"/>
            <w:noWrap w:val="0"/>
            <w:vAlign w:val="center"/>
          </w:tcPr>
          <w:p w14:paraId="550E43E6">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default" w:ascii="Times New Roman" w:hAnsi="Times New Roman" w:eastAsia="宋体" w:cs="Times New Roman"/>
                <w:b/>
                <w:bCs w:val="0"/>
                <w:color w:val="auto"/>
                <w:kern w:val="2"/>
                <w:sz w:val="21"/>
                <w:szCs w:val="21"/>
                <w:lang w:val="en-US" w:eastAsia="zh-CN" w:bidi="ar-SA"/>
              </w:rPr>
            </w:pPr>
            <w:r>
              <w:rPr>
                <w:rFonts w:hint="default" w:ascii="Times New Roman" w:hAnsi="Times New Roman" w:eastAsia="宋体" w:cs="Times New Roman"/>
                <w:b/>
                <w:bCs w:val="0"/>
                <w:color w:val="auto"/>
                <w:kern w:val="2"/>
                <w:sz w:val="21"/>
                <w:szCs w:val="21"/>
                <w:lang w:val="en-US" w:eastAsia="zh-CN" w:bidi="ar-SA"/>
              </w:rPr>
              <w:t>耐火等级</w:t>
            </w:r>
          </w:p>
        </w:tc>
        <w:tc>
          <w:tcPr>
            <w:tcW w:w="2991" w:type="pct"/>
            <w:noWrap w:val="0"/>
            <w:vAlign w:val="center"/>
          </w:tcPr>
          <w:p w14:paraId="118499E2">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default" w:ascii="Times New Roman" w:hAnsi="Times New Roman" w:eastAsia="宋体" w:cs="Times New Roman"/>
                <w:b/>
                <w:bCs w:val="0"/>
                <w:color w:val="auto"/>
                <w:kern w:val="2"/>
                <w:sz w:val="21"/>
                <w:szCs w:val="21"/>
                <w:lang w:val="en-US" w:eastAsia="zh-CN" w:bidi="ar-SA"/>
              </w:rPr>
            </w:pPr>
            <w:r>
              <w:rPr>
                <w:rFonts w:hint="default" w:ascii="Times New Roman" w:hAnsi="Times New Roman" w:eastAsia="宋体" w:cs="Times New Roman"/>
                <w:b/>
                <w:bCs w:val="0"/>
                <w:color w:val="auto"/>
                <w:kern w:val="2"/>
                <w:sz w:val="21"/>
                <w:szCs w:val="21"/>
                <w:lang w:val="en-US" w:eastAsia="zh-CN" w:bidi="ar-SA"/>
              </w:rPr>
              <w:t>备注</w:t>
            </w:r>
          </w:p>
        </w:tc>
      </w:tr>
      <w:tr w14:paraId="08AD30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5" w:hRule="atLeast"/>
          <w:jc w:val="center"/>
        </w:trPr>
        <w:tc>
          <w:tcPr>
            <w:tcW w:w="295" w:type="pct"/>
            <w:noWrap w:val="0"/>
            <w:vAlign w:val="center"/>
          </w:tcPr>
          <w:p w14:paraId="6420497E">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1</w:t>
            </w:r>
          </w:p>
        </w:tc>
        <w:tc>
          <w:tcPr>
            <w:tcW w:w="452" w:type="pct"/>
            <w:noWrap w:val="0"/>
            <w:vAlign w:val="center"/>
          </w:tcPr>
          <w:p w14:paraId="216371CC">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阻隔防爆撬装加油装置</w:t>
            </w:r>
          </w:p>
        </w:tc>
        <w:tc>
          <w:tcPr>
            <w:tcW w:w="286" w:type="pct"/>
            <w:noWrap w:val="0"/>
            <w:vAlign w:val="center"/>
          </w:tcPr>
          <w:p w14:paraId="3F4CB7C5">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1台</w:t>
            </w:r>
          </w:p>
        </w:tc>
        <w:tc>
          <w:tcPr>
            <w:tcW w:w="337" w:type="pct"/>
            <w:noWrap w:val="0"/>
            <w:vAlign w:val="center"/>
          </w:tcPr>
          <w:p w14:paraId="34D85277">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22.83</w:t>
            </w:r>
            <w:r>
              <w:rPr>
                <w:rFonts w:hint="eastAsia" w:ascii="Times New Roman" w:hAnsi="Times New Roman" w:eastAsia="宋体" w:cs="Times New Roman"/>
                <w:bCs/>
                <w:color w:val="auto"/>
                <w:kern w:val="2"/>
                <w:sz w:val="21"/>
                <w:szCs w:val="21"/>
                <w:lang w:val="en-US" w:eastAsia="zh-CN" w:bidi="ar-SA"/>
              </w:rPr>
              <w:t>m</w:t>
            </w:r>
            <w:r>
              <w:rPr>
                <w:rFonts w:hint="eastAsia" w:ascii="Times New Roman" w:hAnsi="Times New Roman" w:eastAsia="宋体" w:cs="Times New Roman"/>
                <w:bCs/>
                <w:color w:val="auto"/>
                <w:kern w:val="2"/>
                <w:sz w:val="21"/>
                <w:szCs w:val="21"/>
                <w:vertAlign w:val="superscript"/>
                <w:lang w:val="en-US" w:eastAsia="zh-CN" w:bidi="ar-SA"/>
              </w:rPr>
              <w:t>2</w:t>
            </w:r>
          </w:p>
        </w:tc>
        <w:tc>
          <w:tcPr>
            <w:tcW w:w="313" w:type="pct"/>
            <w:noWrap w:val="0"/>
            <w:vAlign w:val="center"/>
          </w:tcPr>
          <w:p w14:paraId="61939E1B">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丙类</w:t>
            </w:r>
          </w:p>
        </w:tc>
        <w:tc>
          <w:tcPr>
            <w:tcW w:w="323" w:type="pct"/>
            <w:noWrap w:val="0"/>
            <w:vAlign w:val="center"/>
          </w:tcPr>
          <w:p w14:paraId="3B536822">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二级</w:t>
            </w:r>
          </w:p>
        </w:tc>
        <w:tc>
          <w:tcPr>
            <w:tcW w:w="2991" w:type="pct"/>
            <w:noWrap w:val="0"/>
            <w:vAlign w:val="center"/>
          </w:tcPr>
          <w:p w14:paraId="1CE51609">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both"/>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型号：JT-ZGFB-30/2-F-BC1</w:t>
            </w:r>
            <w:r>
              <w:rPr>
                <w:rFonts w:hint="eastAsia" w:cs="Times New Roman"/>
                <w:bCs/>
                <w:color w:val="auto"/>
                <w:kern w:val="2"/>
                <w:sz w:val="21"/>
                <w:szCs w:val="21"/>
                <w:lang w:val="en-US" w:eastAsia="zh-CN" w:bidi="ar-SA"/>
              </w:rPr>
              <w:t>（</w:t>
            </w:r>
            <w:r>
              <w:rPr>
                <w:rFonts w:hint="default" w:ascii="Times New Roman" w:hAnsi="Times New Roman" w:eastAsia="宋体" w:cs="Times New Roman"/>
                <w:bCs/>
                <w:color w:val="auto"/>
                <w:kern w:val="2"/>
                <w:sz w:val="21"/>
                <w:szCs w:val="21"/>
                <w:lang w:val="en-US" w:eastAsia="zh-CN" w:bidi="ar-SA"/>
              </w:rPr>
              <w:t>柴油单机</w:t>
            </w:r>
            <w:r>
              <w:rPr>
                <w:rFonts w:hint="eastAsia" w:ascii="宋体" w:hAnsi="宋体" w:eastAsia="宋体" w:cs="宋体"/>
                <w:bCs/>
                <w:color w:val="auto"/>
                <w:kern w:val="2"/>
                <w:sz w:val="21"/>
                <w:szCs w:val="21"/>
                <w:lang w:val="en-US" w:eastAsia="zh-CN" w:bidi="ar-SA"/>
              </w:rPr>
              <w:t>）</w:t>
            </w:r>
          </w:p>
          <w:p w14:paraId="4AA131E5">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both"/>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成套装置内含：1台30</w:t>
            </w:r>
            <w:r>
              <w:rPr>
                <w:rFonts w:hint="eastAsia" w:cs="Times New Roman"/>
                <w:bCs/>
                <w:color w:val="auto"/>
                <w:kern w:val="2"/>
                <w:sz w:val="21"/>
                <w:szCs w:val="21"/>
                <w:lang w:val="en-US" w:eastAsia="zh-CN" w:bidi="ar-SA"/>
              </w:rPr>
              <w:t>m</w:t>
            </w:r>
            <w:r>
              <w:rPr>
                <w:rFonts w:hint="eastAsia" w:cs="Times New Roman"/>
                <w:bCs/>
                <w:color w:val="auto"/>
                <w:kern w:val="2"/>
                <w:sz w:val="21"/>
                <w:szCs w:val="21"/>
                <w:vertAlign w:val="superscript"/>
                <w:lang w:val="en-US" w:eastAsia="zh-CN" w:bidi="ar-SA"/>
              </w:rPr>
              <w:t>3</w:t>
            </w:r>
            <w:r>
              <w:rPr>
                <w:rFonts w:hint="default" w:ascii="Times New Roman" w:hAnsi="Times New Roman" w:eastAsia="宋体" w:cs="Times New Roman"/>
                <w:bCs/>
                <w:color w:val="auto"/>
                <w:kern w:val="2"/>
                <w:sz w:val="21"/>
                <w:szCs w:val="21"/>
                <w:lang w:val="en-US" w:eastAsia="zh-CN" w:bidi="ar-SA"/>
              </w:rPr>
              <w:t>柴油双壁储罐，1台加油机，齿轮泵，液位监控系统，智能化后台管理系统系统，紧急切断装置，灭火器，紧急泄压装置，漏油检测装置等</w:t>
            </w:r>
          </w:p>
        </w:tc>
      </w:tr>
      <w:tr w14:paraId="03535A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7" w:hRule="atLeast"/>
          <w:jc w:val="center"/>
        </w:trPr>
        <w:tc>
          <w:tcPr>
            <w:tcW w:w="295" w:type="pct"/>
            <w:noWrap w:val="0"/>
            <w:vAlign w:val="center"/>
          </w:tcPr>
          <w:p w14:paraId="0C2B6DD1">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2</w:t>
            </w:r>
          </w:p>
        </w:tc>
        <w:tc>
          <w:tcPr>
            <w:tcW w:w="452" w:type="pct"/>
            <w:noWrap w:val="0"/>
            <w:vAlign w:val="center"/>
          </w:tcPr>
          <w:p w14:paraId="7A0172A5">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消防沙箱及消防器材箱</w:t>
            </w:r>
          </w:p>
        </w:tc>
        <w:tc>
          <w:tcPr>
            <w:tcW w:w="286" w:type="pct"/>
            <w:noWrap w:val="0"/>
            <w:vAlign w:val="center"/>
          </w:tcPr>
          <w:p w14:paraId="2A3DDE99">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w:t>
            </w:r>
          </w:p>
        </w:tc>
        <w:tc>
          <w:tcPr>
            <w:tcW w:w="337" w:type="pct"/>
            <w:noWrap w:val="0"/>
            <w:vAlign w:val="center"/>
          </w:tcPr>
          <w:p w14:paraId="77E97A0A">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w:t>
            </w:r>
          </w:p>
        </w:tc>
        <w:tc>
          <w:tcPr>
            <w:tcW w:w="313" w:type="pct"/>
            <w:noWrap w:val="0"/>
            <w:vAlign w:val="center"/>
          </w:tcPr>
          <w:p w14:paraId="4779F959">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w:t>
            </w:r>
          </w:p>
        </w:tc>
        <w:tc>
          <w:tcPr>
            <w:tcW w:w="323" w:type="pct"/>
            <w:noWrap w:val="0"/>
            <w:vAlign w:val="center"/>
          </w:tcPr>
          <w:p w14:paraId="04F635A7">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w:t>
            </w:r>
          </w:p>
        </w:tc>
        <w:tc>
          <w:tcPr>
            <w:tcW w:w="2991" w:type="pct"/>
            <w:noWrap w:val="0"/>
            <w:vAlign w:val="center"/>
          </w:tcPr>
          <w:p w14:paraId="272BB618">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both"/>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2m</w:t>
            </w:r>
            <w:r>
              <w:rPr>
                <w:rFonts w:hint="default" w:ascii="Times New Roman" w:hAnsi="Times New Roman" w:eastAsia="宋体" w:cs="Times New Roman"/>
                <w:b w:val="0"/>
                <w:bCs/>
                <w:color w:val="auto"/>
                <w:kern w:val="2"/>
                <w:sz w:val="21"/>
                <w:szCs w:val="21"/>
                <w:vertAlign w:val="superscript"/>
                <w:lang w:val="en-US" w:eastAsia="zh-CN" w:bidi="ar-SA"/>
              </w:rPr>
              <w:t>3</w:t>
            </w:r>
            <w:r>
              <w:rPr>
                <w:rFonts w:hint="default" w:ascii="Times New Roman" w:hAnsi="Times New Roman" w:eastAsia="宋体" w:cs="Times New Roman"/>
                <w:b w:val="0"/>
                <w:bCs/>
                <w:color w:val="auto"/>
                <w:kern w:val="2"/>
                <w:sz w:val="21"/>
                <w:szCs w:val="21"/>
                <w:lang w:val="en-US" w:eastAsia="zh-CN" w:bidi="ar-SA"/>
              </w:rPr>
              <w:t>消防沙、2把消防铲、2块灭火毯、2具消防沙桶</w:t>
            </w:r>
          </w:p>
        </w:tc>
      </w:tr>
      <w:tr w14:paraId="2D0E31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jc w:val="center"/>
        </w:trPr>
        <w:tc>
          <w:tcPr>
            <w:tcW w:w="295" w:type="pct"/>
            <w:noWrap w:val="0"/>
            <w:vAlign w:val="center"/>
          </w:tcPr>
          <w:p w14:paraId="12168FC5">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3</w:t>
            </w:r>
          </w:p>
        </w:tc>
        <w:tc>
          <w:tcPr>
            <w:tcW w:w="452" w:type="pct"/>
            <w:noWrap w:val="0"/>
            <w:vAlign w:val="center"/>
          </w:tcPr>
          <w:p w14:paraId="763F5E28">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防护围堰</w:t>
            </w:r>
          </w:p>
        </w:tc>
        <w:tc>
          <w:tcPr>
            <w:tcW w:w="286" w:type="pct"/>
            <w:noWrap w:val="0"/>
            <w:vAlign w:val="center"/>
          </w:tcPr>
          <w:p w14:paraId="584E49A6">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w:t>
            </w:r>
          </w:p>
        </w:tc>
        <w:tc>
          <w:tcPr>
            <w:tcW w:w="337" w:type="pct"/>
            <w:noWrap w:val="0"/>
            <w:vAlign w:val="center"/>
          </w:tcPr>
          <w:p w14:paraId="56883D6C">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w:t>
            </w:r>
          </w:p>
        </w:tc>
        <w:tc>
          <w:tcPr>
            <w:tcW w:w="313" w:type="pct"/>
            <w:noWrap w:val="0"/>
            <w:vAlign w:val="center"/>
          </w:tcPr>
          <w:p w14:paraId="1D2DD942">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w:t>
            </w:r>
          </w:p>
        </w:tc>
        <w:tc>
          <w:tcPr>
            <w:tcW w:w="323" w:type="pct"/>
            <w:noWrap w:val="0"/>
            <w:vAlign w:val="center"/>
          </w:tcPr>
          <w:p w14:paraId="44E66A38">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二级</w:t>
            </w:r>
          </w:p>
        </w:tc>
        <w:tc>
          <w:tcPr>
            <w:tcW w:w="2991" w:type="pct"/>
            <w:noWrap w:val="0"/>
            <w:vAlign w:val="center"/>
          </w:tcPr>
          <w:p w14:paraId="180AB0C7">
            <w:pPr>
              <w:keepNext w:val="0"/>
              <w:keepLines w:val="0"/>
              <w:pageBreakBefore w:val="0"/>
              <w:widowControl w:val="0"/>
              <w:kinsoku/>
              <w:wordWrap/>
              <w:overflowPunct/>
              <w:topLinePunct w:val="0"/>
              <w:autoSpaceDE/>
              <w:autoSpaceDN/>
              <w:bidi w:val="0"/>
              <w:adjustRightInd/>
              <w:snapToGrid/>
              <w:spacing w:line="240" w:lineRule="auto"/>
              <w:ind w:leftChars="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w:t>
            </w:r>
          </w:p>
        </w:tc>
      </w:tr>
    </w:tbl>
    <w:p w14:paraId="2C29FE46">
      <w:pPr>
        <w:bidi w:val="0"/>
        <w:rPr>
          <w:rFonts w:hint="default"/>
          <w:lang w:val="en-US" w:eastAsia="zh-CN"/>
        </w:rPr>
      </w:pPr>
      <w:r>
        <w:rPr>
          <w:rFonts w:hint="default"/>
          <w:lang w:val="en-US" w:eastAsia="zh-CN"/>
        </w:rPr>
        <w:t>2</w:t>
      </w:r>
      <w:r>
        <w:rPr>
          <w:rFonts w:hint="eastAsia"/>
          <w:lang w:val="en-US" w:eastAsia="zh-CN"/>
        </w:rPr>
        <w:t xml:space="preserve">. </w:t>
      </w:r>
      <w:r>
        <w:rPr>
          <w:rFonts w:hint="default"/>
          <w:lang w:val="en-US" w:eastAsia="zh-CN"/>
        </w:rPr>
        <w:t>主要设备设施</w:t>
      </w:r>
    </w:p>
    <w:p w14:paraId="569FF74E">
      <w:pPr>
        <w:bidi w:val="0"/>
        <w:rPr>
          <w:rFonts w:hint="default"/>
          <w:lang w:val="en-US" w:eastAsia="zh-CN"/>
        </w:rPr>
      </w:pPr>
      <w:r>
        <w:rPr>
          <w:rFonts w:hint="eastAsia"/>
          <w:lang w:val="en-US" w:eastAsia="zh-CN"/>
        </w:rPr>
        <w:t>本项目</w:t>
      </w:r>
      <w:r>
        <w:rPr>
          <w:rFonts w:hint="default"/>
          <w:lang w:val="en-US" w:eastAsia="zh-CN"/>
        </w:rPr>
        <w:t>主要生产设备设施情况见表2.6-2。</w:t>
      </w:r>
    </w:p>
    <w:p w14:paraId="7D6C3E4C">
      <w:pPr>
        <w:ind w:left="0" w:leftChars="0" w:firstLine="0" w:firstLineChars="0"/>
        <w:jc w:val="center"/>
        <w:rPr>
          <w:rFonts w:hint="eastAsia"/>
          <w:lang w:val="en-US" w:eastAsia="zh-CN"/>
        </w:rPr>
      </w:pPr>
      <w:r>
        <w:rPr>
          <w:rFonts w:hint="default"/>
          <w:lang w:val="en-US" w:eastAsia="zh-CN"/>
        </w:rPr>
        <w:t>表2.6-2</w:t>
      </w:r>
      <w:r>
        <w:rPr>
          <w:rFonts w:hint="eastAsia"/>
          <w:lang w:val="en-US" w:eastAsia="zh-CN"/>
        </w:rPr>
        <w:t xml:space="preserve"> 项目主要设备一览表</w:t>
      </w:r>
    </w:p>
    <w:tbl>
      <w:tblPr>
        <w:tblStyle w:val="20"/>
        <w:tblW w:w="940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5"/>
        <w:gridCol w:w="1886"/>
        <w:gridCol w:w="5419"/>
        <w:gridCol w:w="735"/>
        <w:gridCol w:w="727"/>
      </w:tblGrid>
      <w:tr w14:paraId="4F0294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35" w:type="dxa"/>
            <w:noWrap w:val="0"/>
            <w:vAlign w:val="center"/>
          </w:tcPr>
          <w:p w14:paraId="3618E7C3">
            <w:pPr>
              <w:pStyle w:val="45"/>
              <w:bidi w:val="0"/>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序号</w:t>
            </w:r>
          </w:p>
        </w:tc>
        <w:tc>
          <w:tcPr>
            <w:tcW w:w="1886" w:type="dxa"/>
            <w:noWrap w:val="0"/>
            <w:vAlign w:val="center"/>
          </w:tcPr>
          <w:p w14:paraId="594B8D21">
            <w:pPr>
              <w:pStyle w:val="45"/>
              <w:bidi w:val="0"/>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设备名称</w:t>
            </w:r>
          </w:p>
        </w:tc>
        <w:tc>
          <w:tcPr>
            <w:tcW w:w="5419" w:type="dxa"/>
            <w:noWrap w:val="0"/>
            <w:vAlign w:val="center"/>
          </w:tcPr>
          <w:p w14:paraId="1365C3E9">
            <w:pPr>
              <w:pStyle w:val="45"/>
              <w:bidi w:val="0"/>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规格型号</w:t>
            </w:r>
          </w:p>
        </w:tc>
        <w:tc>
          <w:tcPr>
            <w:tcW w:w="735" w:type="dxa"/>
            <w:noWrap w:val="0"/>
            <w:vAlign w:val="center"/>
          </w:tcPr>
          <w:p w14:paraId="5E1CF68F">
            <w:pPr>
              <w:pStyle w:val="45"/>
              <w:bidi w:val="0"/>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单位</w:t>
            </w:r>
          </w:p>
        </w:tc>
        <w:tc>
          <w:tcPr>
            <w:tcW w:w="727" w:type="dxa"/>
            <w:noWrap w:val="0"/>
            <w:vAlign w:val="center"/>
          </w:tcPr>
          <w:p w14:paraId="75D3031A">
            <w:pPr>
              <w:pStyle w:val="45"/>
              <w:bidi w:val="0"/>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数量</w:t>
            </w:r>
          </w:p>
        </w:tc>
      </w:tr>
      <w:tr w14:paraId="76A5CC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35" w:type="dxa"/>
            <w:noWrap w:val="0"/>
            <w:vAlign w:val="center"/>
          </w:tcPr>
          <w:p w14:paraId="34EAD02D">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886" w:type="dxa"/>
            <w:noWrap w:val="0"/>
            <w:vAlign w:val="center"/>
          </w:tcPr>
          <w:p w14:paraId="29495324">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阻隔防爆式油罐</w:t>
            </w:r>
          </w:p>
        </w:tc>
        <w:tc>
          <w:tcPr>
            <w:tcW w:w="5419" w:type="dxa"/>
            <w:noWrap w:val="0"/>
            <w:vAlign w:val="center"/>
          </w:tcPr>
          <w:p w14:paraId="1552A78B">
            <w:pPr>
              <w:pStyle w:val="45"/>
              <w:bidi w:val="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阻隔防爆双层储罐，Q235-B材质。采用对接工艺与双层焊口强化工艺，其焊缝强度高于厚度12mm钢板的对焊焊缝强度。罐体可承受4小时耐火实验，并有国家级防爆鉴定资质机构的监测。内罐壁厚8mm，外罐壁厚6mm，φ2</w:t>
            </w:r>
            <w:r>
              <w:rPr>
                <w:rFonts w:hint="default"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rPr>
              <w:t>00*</w:t>
            </w:r>
            <w:r>
              <w:rPr>
                <w:rFonts w:hint="default" w:ascii="Times New Roman" w:hAnsi="Times New Roman" w:eastAsia="宋体" w:cs="Times New Roman"/>
                <w:sz w:val="21"/>
                <w:szCs w:val="21"/>
                <w:lang w:val="en-US" w:eastAsia="zh-CN"/>
              </w:rPr>
              <w:t>64</w:t>
            </w:r>
            <w:r>
              <w:rPr>
                <w:rFonts w:hint="default" w:ascii="Times New Roman" w:hAnsi="Times New Roman" w:eastAsia="宋体" w:cs="Times New Roman"/>
                <w:sz w:val="21"/>
                <w:szCs w:val="21"/>
              </w:rPr>
              <w:t>00，</w:t>
            </w:r>
            <w:r>
              <w:rPr>
                <w:rFonts w:hint="default" w:ascii="Times New Roman" w:hAnsi="Times New Roman" w:eastAsia="宋体" w:cs="Times New Roman"/>
                <w:sz w:val="21"/>
                <w:szCs w:val="21"/>
                <w:lang w:val="en-US" w:eastAsia="zh-CN"/>
              </w:rPr>
              <w:t>30</w:t>
            </w:r>
            <w:r>
              <w:rPr>
                <w:rFonts w:hint="default" w:ascii="Times New Roman" w:hAnsi="Times New Roman" w:eastAsia="宋体" w:cs="Times New Roman"/>
                <w:sz w:val="21"/>
                <w:szCs w:val="21"/>
              </w:rPr>
              <w:t>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，设2个隔仓</w:t>
            </w:r>
          </w:p>
        </w:tc>
        <w:tc>
          <w:tcPr>
            <w:tcW w:w="735" w:type="dxa"/>
            <w:noWrap w:val="0"/>
            <w:vAlign w:val="center"/>
          </w:tcPr>
          <w:p w14:paraId="7A88B40B">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台</w:t>
            </w:r>
          </w:p>
        </w:tc>
        <w:tc>
          <w:tcPr>
            <w:tcW w:w="727" w:type="dxa"/>
            <w:noWrap w:val="0"/>
            <w:vAlign w:val="center"/>
          </w:tcPr>
          <w:p w14:paraId="4B06011B">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r>
      <w:tr w14:paraId="132CA1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35" w:type="dxa"/>
            <w:noWrap w:val="0"/>
            <w:vAlign w:val="center"/>
          </w:tcPr>
          <w:p w14:paraId="649A0E84">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886" w:type="dxa"/>
            <w:noWrap w:val="0"/>
            <w:vAlign w:val="center"/>
          </w:tcPr>
          <w:p w14:paraId="1AA731F8">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税控自吸泵型燃油加油机</w:t>
            </w:r>
          </w:p>
        </w:tc>
        <w:tc>
          <w:tcPr>
            <w:tcW w:w="5419" w:type="dxa"/>
            <w:noWrap w:val="0"/>
            <w:vAlign w:val="center"/>
          </w:tcPr>
          <w:p w14:paraId="3F162FE0">
            <w:pPr>
              <w:pStyle w:val="45"/>
              <w:bidi w:val="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流量范围（5-80）L/min，最大允许误差±0.30%，防爆标志ExdmbⅡAT3Gb，带急停按钮，双枪</w:t>
            </w:r>
          </w:p>
        </w:tc>
        <w:tc>
          <w:tcPr>
            <w:tcW w:w="735" w:type="dxa"/>
            <w:noWrap w:val="0"/>
            <w:vAlign w:val="center"/>
          </w:tcPr>
          <w:p w14:paraId="14F030F7">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台</w:t>
            </w:r>
          </w:p>
        </w:tc>
        <w:tc>
          <w:tcPr>
            <w:tcW w:w="727" w:type="dxa"/>
            <w:noWrap w:val="0"/>
            <w:vAlign w:val="center"/>
          </w:tcPr>
          <w:p w14:paraId="21530C34">
            <w:pPr>
              <w:pStyle w:val="45"/>
              <w:bidi w:val="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w:t>
            </w:r>
          </w:p>
        </w:tc>
      </w:tr>
      <w:tr w14:paraId="64B10D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35" w:type="dxa"/>
            <w:noWrap w:val="0"/>
            <w:vAlign w:val="center"/>
          </w:tcPr>
          <w:p w14:paraId="4EA60D33">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1886" w:type="dxa"/>
            <w:noWrap w:val="0"/>
            <w:vAlign w:val="center"/>
          </w:tcPr>
          <w:p w14:paraId="5AB12B7F">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卸油管道泵</w:t>
            </w:r>
          </w:p>
        </w:tc>
        <w:tc>
          <w:tcPr>
            <w:tcW w:w="5419" w:type="dxa"/>
            <w:noWrap w:val="0"/>
            <w:vAlign w:val="center"/>
          </w:tcPr>
          <w:p w14:paraId="354CE011">
            <w:pPr>
              <w:pStyle w:val="45"/>
              <w:bidi w:val="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流量25m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/h，扬程20m，功率3.0kW，</w:t>
            </w:r>
          </w:p>
          <w:p w14:paraId="0542BE68">
            <w:pPr>
              <w:pStyle w:val="45"/>
              <w:bidi w:val="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电机为隔爆型（dⅡBT4），防护等级为IP65</w:t>
            </w:r>
          </w:p>
        </w:tc>
        <w:tc>
          <w:tcPr>
            <w:tcW w:w="735" w:type="dxa"/>
            <w:noWrap w:val="0"/>
            <w:vAlign w:val="center"/>
          </w:tcPr>
          <w:p w14:paraId="543847F1">
            <w:pPr>
              <w:pStyle w:val="45"/>
              <w:bidi w:val="0"/>
              <w:rPr>
                <w:rFonts w:hint="default" w:ascii="Times New Roman" w:hAnsi="Times New Roman" w:eastAsia="宋体" w:cs="Times New Roman"/>
                <w:sz w:val="21"/>
                <w:szCs w:val="21"/>
              </w:rPr>
            </w:pPr>
          </w:p>
          <w:p w14:paraId="64A814E1">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台</w:t>
            </w:r>
          </w:p>
        </w:tc>
        <w:tc>
          <w:tcPr>
            <w:tcW w:w="727" w:type="dxa"/>
            <w:noWrap w:val="0"/>
            <w:vAlign w:val="center"/>
          </w:tcPr>
          <w:p w14:paraId="24138C38">
            <w:pPr>
              <w:pStyle w:val="45"/>
              <w:bidi w:val="0"/>
              <w:rPr>
                <w:rFonts w:hint="default" w:ascii="Times New Roman" w:hAnsi="Times New Roman" w:eastAsia="宋体" w:cs="Times New Roman"/>
                <w:sz w:val="21"/>
                <w:szCs w:val="21"/>
              </w:rPr>
            </w:pPr>
          </w:p>
          <w:p w14:paraId="0209D2B0">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r>
      <w:tr w14:paraId="6D28D9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35" w:type="dxa"/>
            <w:noWrap w:val="0"/>
            <w:vAlign w:val="center"/>
          </w:tcPr>
          <w:p w14:paraId="16A30368">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1886" w:type="dxa"/>
            <w:noWrap w:val="0"/>
            <w:vAlign w:val="center"/>
          </w:tcPr>
          <w:p w14:paraId="7FC825EB">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液位仪监控系统</w:t>
            </w:r>
          </w:p>
        </w:tc>
        <w:tc>
          <w:tcPr>
            <w:tcW w:w="5419" w:type="dxa"/>
            <w:noWrap w:val="0"/>
            <w:vAlign w:val="center"/>
          </w:tcPr>
          <w:p w14:paraId="06354DDA">
            <w:pPr>
              <w:pStyle w:val="45"/>
              <w:bidi w:val="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量程5-2900mm；测量误差±1mm；分辨率0.1mm；温度误差0.5℃；工作压力0.1MPa或根据用户要求确定；防爆标志ExiaⅡBT5Ga；磁致伸缩液位计</w:t>
            </w:r>
          </w:p>
        </w:tc>
        <w:tc>
          <w:tcPr>
            <w:tcW w:w="735" w:type="dxa"/>
            <w:noWrap w:val="0"/>
            <w:vAlign w:val="center"/>
          </w:tcPr>
          <w:p w14:paraId="07A47053">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套</w:t>
            </w:r>
          </w:p>
        </w:tc>
        <w:tc>
          <w:tcPr>
            <w:tcW w:w="727" w:type="dxa"/>
            <w:noWrap w:val="0"/>
            <w:vAlign w:val="center"/>
          </w:tcPr>
          <w:p w14:paraId="328A4FA5">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r>
      <w:tr w14:paraId="0895AD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35" w:type="dxa"/>
            <w:noWrap w:val="0"/>
            <w:vAlign w:val="center"/>
          </w:tcPr>
          <w:p w14:paraId="4F4E5127">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1886" w:type="dxa"/>
            <w:noWrap w:val="0"/>
            <w:vAlign w:val="center"/>
          </w:tcPr>
          <w:p w14:paraId="595B1FAF">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泄漏检测视镜</w:t>
            </w:r>
          </w:p>
        </w:tc>
        <w:tc>
          <w:tcPr>
            <w:tcW w:w="5419" w:type="dxa"/>
            <w:noWrap w:val="0"/>
            <w:vAlign w:val="center"/>
          </w:tcPr>
          <w:p w14:paraId="2A907A89">
            <w:pPr>
              <w:pStyle w:val="45"/>
              <w:bidi w:val="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漏油检测装置由管道与漏油视镜组成，探测点位于双层储罐夹层</w:t>
            </w:r>
          </w:p>
        </w:tc>
        <w:tc>
          <w:tcPr>
            <w:tcW w:w="735" w:type="dxa"/>
            <w:noWrap w:val="0"/>
            <w:vAlign w:val="center"/>
          </w:tcPr>
          <w:p w14:paraId="41EC3BEF">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套</w:t>
            </w:r>
          </w:p>
        </w:tc>
        <w:tc>
          <w:tcPr>
            <w:tcW w:w="727" w:type="dxa"/>
            <w:noWrap w:val="0"/>
            <w:vAlign w:val="center"/>
          </w:tcPr>
          <w:p w14:paraId="5D1B69F8">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r>
      <w:tr w14:paraId="551668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35" w:type="dxa"/>
            <w:noWrap w:val="0"/>
            <w:vAlign w:val="center"/>
          </w:tcPr>
          <w:p w14:paraId="614EF19D">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1886" w:type="dxa"/>
            <w:noWrap w:val="0"/>
            <w:vAlign w:val="center"/>
          </w:tcPr>
          <w:p w14:paraId="47310D4C">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接地报警仪</w:t>
            </w:r>
          </w:p>
        </w:tc>
        <w:tc>
          <w:tcPr>
            <w:tcW w:w="5419" w:type="dxa"/>
            <w:noWrap w:val="0"/>
            <w:vAlign w:val="center"/>
          </w:tcPr>
          <w:p w14:paraId="3A013312">
            <w:pPr>
              <w:pStyle w:val="45"/>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自动检测接地情况，声音报警</w:t>
            </w:r>
          </w:p>
        </w:tc>
        <w:tc>
          <w:tcPr>
            <w:tcW w:w="735" w:type="dxa"/>
            <w:noWrap w:val="0"/>
            <w:vAlign w:val="center"/>
          </w:tcPr>
          <w:p w14:paraId="5F1006E1">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台</w:t>
            </w:r>
          </w:p>
        </w:tc>
        <w:tc>
          <w:tcPr>
            <w:tcW w:w="727" w:type="dxa"/>
            <w:noWrap w:val="0"/>
            <w:vAlign w:val="center"/>
          </w:tcPr>
          <w:p w14:paraId="2E81C86F">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r>
      <w:tr w14:paraId="2544EA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35" w:type="dxa"/>
            <w:noWrap w:val="0"/>
            <w:vAlign w:val="center"/>
          </w:tcPr>
          <w:p w14:paraId="565AAC34">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w:t>
            </w:r>
          </w:p>
        </w:tc>
        <w:tc>
          <w:tcPr>
            <w:tcW w:w="1886" w:type="dxa"/>
            <w:noWrap w:val="0"/>
            <w:vAlign w:val="center"/>
          </w:tcPr>
          <w:p w14:paraId="50E2476D">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自动灭火装置</w:t>
            </w:r>
          </w:p>
        </w:tc>
        <w:tc>
          <w:tcPr>
            <w:tcW w:w="5419" w:type="dxa"/>
            <w:noWrap w:val="0"/>
            <w:vAlign w:val="center"/>
          </w:tcPr>
          <w:p w14:paraId="2D8EA1D7">
            <w:pPr>
              <w:pStyle w:val="45"/>
              <w:bidi w:val="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超细干粉灭火器，充有适量的驱动气体-氮气，技术性能符合GA602-2013、GA95-2015标准，装置喷口部位装有感温玻璃喷头，启动温度68℃</w:t>
            </w:r>
          </w:p>
        </w:tc>
        <w:tc>
          <w:tcPr>
            <w:tcW w:w="735" w:type="dxa"/>
            <w:noWrap w:val="0"/>
            <w:vAlign w:val="center"/>
          </w:tcPr>
          <w:p w14:paraId="090D638D">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台</w:t>
            </w:r>
          </w:p>
        </w:tc>
        <w:tc>
          <w:tcPr>
            <w:tcW w:w="727" w:type="dxa"/>
            <w:noWrap w:val="0"/>
            <w:vAlign w:val="center"/>
          </w:tcPr>
          <w:p w14:paraId="20CB3FDA">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r>
      <w:tr w14:paraId="1F1DD3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35" w:type="dxa"/>
            <w:noWrap w:val="0"/>
            <w:vAlign w:val="center"/>
          </w:tcPr>
          <w:p w14:paraId="15BD2039">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1886" w:type="dxa"/>
            <w:noWrap w:val="0"/>
            <w:vAlign w:val="center"/>
          </w:tcPr>
          <w:p w14:paraId="6A53AAF7">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油气回收系统</w:t>
            </w:r>
          </w:p>
        </w:tc>
        <w:tc>
          <w:tcPr>
            <w:tcW w:w="5419" w:type="dxa"/>
            <w:noWrap w:val="0"/>
            <w:vAlign w:val="center"/>
          </w:tcPr>
          <w:p w14:paraId="6F68B3E0">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卸油油气回收</w:t>
            </w:r>
          </w:p>
        </w:tc>
        <w:tc>
          <w:tcPr>
            <w:tcW w:w="735" w:type="dxa"/>
            <w:noWrap w:val="0"/>
            <w:vAlign w:val="center"/>
          </w:tcPr>
          <w:p w14:paraId="06E9C82E">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套</w:t>
            </w:r>
          </w:p>
        </w:tc>
        <w:tc>
          <w:tcPr>
            <w:tcW w:w="727" w:type="dxa"/>
            <w:noWrap w:val="0"/>
            <w:vAlign w:val="center"/>
          </w:tcPr>
          <w:p w14:paraId="7D7B8BA4">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r>
      <w:tr w14:paraId="463597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35" w:type="dxa"/>
            <w:noWrap w:val="0"/>
            <w:vAlign w:val="center"/>
          </w:tcPr>
          <w:p w14:paraId="358B7269">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w:t>
            </w:r>
          </w:p>
        </w:tc>
        <w:tc>
          <w:tcPr>
            <w:tcW w:w="1886" w:type="dxa"/>
            <w:noWrap w:val="0"/>
            <w:vAlign w:val="center"/>
          </w:tcPr>
          <w:p w14:paraId="57E716FB">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紧急切断装置</w:t>
            </w:r>
          </w:p>
        </w:tc>
        <w:tc>
          <w:tcPr>
            <w:tcW w:w="5419" w:type="dxa"/>
            <w:noWrap w:val="0"/>
            <w:vAlign w:val="center"/>
          </w:tcPr>
          <w:p w14:paraId="5D79CC4D">
            <w:pPr>
              <w:pStyle w:val="45"/>
              <w:bidi w:val="0"/>
              <w:rPr>
                <w:rFonts w:hint="default" w:ascii="Times New Roman" w:hAnsi="Times New Roman" w:eastAsia="宋体" w:cs="Times New Roman"/>
                <w:sz w:val="21"/>
                <w:szCs w:val="21"/>
              </w:rPr>
            </w:pPr>
          </w:p>
        </w:tc>
        <w:tc>
          <w:tcPr>
            <w:tcW w:w="735" w:type="dxa"/>
            <w:noWrap w:val="0"/>
            <w:vAlign w:val="center"/>
          </w:tcPr>
          <w:p w14:paraId="695796BC">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套</w:t>
            </w:r>
          </w:p>
        </w:tc>
        <w:tc>
          <w:tcPr>
            <w:tcW w:w="727" w:type="dxa"/>
            <w:noWrap w:val="0"/>
            <w:vAlign w:val="center"/>
          </w:tcPr>
          <w:p w14:paraId="1BC57FFE">
            <w:pPr>
              <w:pStyle w:val="45"/>
              <w:bidi w:val="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w:t>
            </w:r>
          </w:p>
        </w:tc>
      </w:tr>
      <w:tr w14:paraId="54949B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35" w:type="dxa"/>
            <w:noWrap w:val="0"/>
            <w:vAlign w:val="center"/>
          </w:tcPr>
          <w:p w14:paraId="2677B152">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1886" w:type="dxa"/>
            <w:noWrap w:val="0"/>
            <w:vAlign w:val="center"/>
          </w:tcPr>
          <w:p w14:paraId="3BB994C9">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紧急泄压装置</w:t>
            </w:r>
          </w:p>
        </w:tc>
        <w:tc>
          <w:tcPr>
            <w:tcW w:w="5419" w:type="dxa"/>
            <w:noWrap w:val="0"/>
            <w:vAlign w:val="center"/>
          </w:tcPr>
          <w:p w14:paraId="3A9E2770">
            <w:pPr>
              <w:pStyle w:val="45"/>
              <w:bidi w:val="0"/>
              <w:rPr>
                <w:rFonts w:hint="default" w:ascii="Times New Roman" w:hAnsi="Times New Roman" w:eastAsia="宋体" w:cs="Times New Roman"/>
                <w:sz w:val="21"/>
                <w:szCs w:val="21"/>
              </w:rPr>
            </w:pPr>
          </w:p>
        </w:tc>
        <w:tc>
          <w:tcPr>
            <w:tcW w:w="735" w:type="dxa"/>
            <w:noWrap w:val="0"/>
            <w:vAlign w:val="center"/>
          </w:tcPr>
          <w:p w14:paraId="391EF257">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套</w:t>
            </w:r>
          </w:p>
        </w:tc>
        <w:tc>
          <w:tcPr>
            <w:tcW w:w="727" w:type="dxa"/>
            <w:noWrap w:val="0"/>
            <w:vAlign w:val="center"/>
          </w:tcPr>
          <w:p w14:paraId="4CE58BB1">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r>
      <w:tr w14:paraId="5A0815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35" w:type="dxa"/>
            <w:noWrap w:val="0"/>
            <w:vAlign w:val="center"/>
          </w:tcPr>
          <w:p w14:paraId="5428398B">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w:t>
            </w:r>
          </w:p>
        </w:tc>
        <w:tc>
          <w:tcPr>
            <w:tcW w:w="1886" w:type="dxa"/>
            <w:noWrap w:val="0"/>
            <w:vAlign w:val="center"/>
          </w:tcPr>
          <w:p w14:paraId="56418085">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视频监控</w:t>
            </w:r>
          </w:p>
        </w:tc>
        <w:tc>
          <w:tcPr>
            <w:tcW w:w="5419" w:type="dxa"/>
            <w:noWrap w:val="0"/>
            <w:vAlign w:val="center"/>
          </w:tcPr>
          <w:p w14:paraId="0DF49932">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高清枪式</w:t>
            </w:r>
          </w:p>
        </w:tc>
        <w:tc>
          <w:tcPr>
            <w:tcW w:w="735" w:type="dxa"/>
            <w:noWrap w:val="0"/>
            <w:vAlign w:val="center"/>
          </w:tcPr>
          <w:p w14:paraId="6B480EF6">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台</w:t>
            </w:r>
          </w:p>
        </w:tc>
        <w:tc>
          <w:tcPr>
            <w:tcW w:w="727" w:type="dxa"/>
            <w:noWrap w:val="0"/>
            <w:vAlign w:val="center"/>
          </w:tcPr>
          <w:p w14:paraId="40423F03">
            <w:pPr>
              <w:pStyle w:val="45"/>
              <w:bidi w:val="0"/>
              <w:rPr>
                <w:rFonts w:hint="eastAsia" w:ascii="Times New Roman" w:hAnsi="Times New Roman" w:eastAsia="宋体" w:cs="Times New Roman"/>
                <w:sz w:val="21"/>
                <w:szCs w:val="21"/>
                <w:lang w:eastAsia="zh-CN"/>
              </w:rPr>
            </w:pPr>
            <w:r>
              <w:rPr>
                <w:rFonts w:hint="eastAsia" w:cs="Times New Roman"/>
                <w:b w:val="0"/>
                <w:bCs/>
                <w:color w:val="auto"/>
                <w:sz w:val="21"/>
                <w:szCs w:val="21"/>
                <w:lang w:val="en-US" w:eastAsia="zh-CN"/>
              </w:rPr>
              <w:t>3</w:t>
            </w:r>
          </w:p>
        </w:tc>
      </w:tr>
      <w:tr w14:paraId="0F2D08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jc w:val="center"/>
        </w:trPr>
        <w:tc>
          <w:tcPr>
            <w:tcW w:w="635" w:type="dxa"/>
            <w:noWrap w:val="0"/>
            <w:vAlign w:val="center"/>
          </w:tcPr>
          <w:p w14:paraId="5C6CC853">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w:t>
            </w:r>
          </w:p>
        </w:tc>
        <w:tc>
          <w:tcPr>
            <w:tcW w:w="1886" w:type="dxa"/>
            <w:noWrap w:val="0"/>
            <w:vAlign w:val="center"/>
          </w:tcPr>
          <w:p w14:paraId="44EDF8FB">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防爆阻火呼吸阀</w:t>
            </w:r>
          </w:p>
        </w:tc>
        <w:tc>
          <w:tcPr>
            <w:tcW w:w="5419" w:type="dxa"/>
            <w:noWrap w:val="0"/>
            <w:vAlign w:val="center"/>
          </w:tcPr>
          <w:p w14:paraId="47A11BF0">
            <w:pPr>
              <w:pStyle w:val="45"/>
              <w:bidi w:val="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呼吸阀工作正压2kPa～3kPa，工作负压1.5kPa～2kPa</w:t>
            </w:r>
          </w:p>
        </w:tc>
        <w:tc>
          <w:tcPr>
            <w:tcW w:w="735" w:type="dxa"/>
            <w:noWrap w:val="0"/>
            <w:vAlign w:val="center"/>
          </w:tcPr>
          <w:p w14:paraId="584EFE35">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套</w:t>
            </w:r>
          </w:p>
        </w:tc>
        <w:tc>
          <w:tcPr>
            <w:tcW w:w="727" w:type="dxa"/>
            <w:noWrap w:val="0"/>
            <w:vAlign w:val="center"/>
          </w:tcPr>
          <w:p w14:paraId="6AA6D1CC">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r>
      <w:tr w14:paraId="740C59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35" w:type="dxa"/>
            <w:noWrap w:val="0"/>
            <w:vAlign w:val="center"/>
          </w:tcPr>
          <w:p w14:paraId="3138407C">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w:t>
            </w:r>
          </w:p>
        </w:tc>
        <w:tc>
          <w:tcPr>
            <w:tcW w:w="1886" w:type="dxa"/>
            <w:noWrap w:val="0"/>
            <w:vAlign w:val="center"/>
          </w:tcPr>
          <w:p w14:paraId="3661507A">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声光报警器</w:t>
            </w:r>
          </w:p>
        </w:tc>
        <w:tc>
          <w:tcPr>
            <w:tcW w:w="5419" w:type="dxa"/>
            <w:noWrap w:val="0"/>
            <w:vAlign w:val="center"/>
          </w:tcPr>
          <w:p w14:paraId="343CA7E3">
            <w:pPr>
              <w:pStyle w:val="45"/>
              <w:bidi w:val="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防爆声光报警器，能同各类火灾报警控制器或其它控制器配合使用。当生产现场发生事故或火灾等紧急情况需要发出声光报警时，控制器送来的控制信号启动声光报警电路，发出声、光报警信号，达成报警目的</w:t>
            </w:r>
          </w:p>
        </w:tc>
        <w:tc>
          <w:tcPr>
            <w:tcW w:w="735" w:type="dxa"/>
            <w:noWrap w:val="0"/>
            <w:vAlign w:val="center"/>
          </w:tcPr>
          <w:p w14:paraId="571FE33F">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套</w:t>
            </w:r>
          </w:p>
        </w:tc>
        <w:tc>
          <w:tcPr>
            <w:tcW w:w="727" w:type="dxa"/>
            <w:noWrap w:val="0"/>
            <w:vAlign w:val="center"/>
          </w:tcPr>
          <w:p w14:paraId="6B5BD457">
            <w:pPr>
              <w:pStyle w:val="45"/>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r>
    </w:tbl>
    <w:p w14:paraId="0B428978">
      <w:pPr>
        <w:pStyle w:val="3"/>
        <w:bidi w:val="0"/>
        <w:rPr>
          <w:rFonts w:hint="default"/>
          <w:lang w:val="en-US" w:eastAsia="zh-CN"/>
        </w:rPr>
      </w:pPr>
      <w:bookmarkStart w:id="32" w:name="_Toc8709"/>
      <w:r>
        <w:rPr>
          <w:rFonts w:hint="default"/>
          <w:lang w:val="en-US" w:eastAsia="zh-CN"/>
        </w:rPr>
        <w:t>2.7 公用工程</w:t>
      </w:r>
      <w:bookmarkEnd w:id="32"/>
    </w:p>
    <w:p w14:paraId="73758601">
      <w:pPr>
        <w:pStyle w:val="4"/>
        <w:bidi w:val="0"/>
        <w:rPr>
          <w:rFonts w:hint="eastAsia"/>
          <w:lang w:val="en-US" w:eastAsia="zh-CN"/>
        </w:rPr>
      </w:pPr>
      <w:bookmarkStart w:id="33" w:name="_Toc29594"/>
      <w:r>
        <w:rPr>
          <w:rFonts w:hint="eastAsia"/>
          <w:lang w:val="en-US" w:eastAsia="zh-CN"/>
        </w:rPr>
        <w:t>2.7.1 供电</w:t>
      </w:r>
      <w:bookmarkEnd w:id="33"/>
    </w:p>
    <w:p w14:paraId="398CD12F">
      <w:pPr>
        <w:rPr>
          <w:rFonts w:hint="default"/>
          <w:lang w:val="en-US" w:eastAsia="zh-CN"/>
        </w:rPr>
      </w:pPr>
      <w:r>
        <w:rPr>
          <w:rFonts w:hint="eastAsia"/>
          <w:lang w:val="en-US" w:eastAsia="zh-CN"/>
        </w:rPr>
        <w:t>一、供电电源及用电负荷</w:t>
      </w:r>
    </w:p>
    <w:p w14:paraId="4DD03A0E">
      <w:pPr>
        <w:rPr>
          <w:rFonts w:hint="default"/>
          <w:b w:val="0"/>
          <w:bCs w:val="0"/>
          <w:color w:val="auto"/>
          <w:lang w:val="en-US" w:eastAsia="zh-CN"/>
        </w:rPr>
      </w:pPr>
      <w:r>
        <w:rPr>
          <w:rFonts w:hint="eastAsia"/>
          <w:color w:val="auto"/>
          <w:lang w:val="en-US" w:eastAsia="zh-CN"/>
        </w:rPr>
        <w:t>本</w:t>
      </w:r>
      <w:r>
        <w:rPr>
          <w:rFonts w:hint="eastAsia"/>
          <w:b w:val="0"/>
          <w:bCs w:val="0"/>
          <w:color w:val="auto"/>
          <w:lang w:val="en-US" w:eastAsia="zh-CN"/>
        </w:rPr>
        <w:t>项目用电从厂区原有变压器接220/380V电源穿管敷设接至自用撬装加油装置</w:t>
      </w:r>
      <w:r>
        <w:rPr>
          <w:rFonts w:hint="default" w:ascii="Times New Roman" w:hAnsi="Times New Roman" w:eastAsia="宋体" w:cs="Times New Roman"/>
          <w:b w:val="0"/>
          <w:bCs w:val="0"/>
          <w:color w:val="auto"/>
          <w:lang w:val="en-US" w:eastAsia="zh-CN"/>
        </w:rPr>
        <w:t>，</w:t>
      </w:r>
      <w:r>
        <w:rPr>
          <w:rFonts w:hint="default"/>
          <w:b w:val="0"/>
          <w:bCs w:val="0"/>
          <w:color w:val="auto"/>
          <w:lang w:val="en-US" w:eastAsia="zh-CN"/>
        </w:rPr>
        <w:t>其电力能满足装置供电。照明和卸车油泵使用380V的交流电压。</w:t>
      </w:r>
    </w:p>
    <w:p w14:paraId="7D0E7204">
      <w:pPr>
        <w:rPr>
          <w:rFonts w:hint="default"/>
          <w:lang w:val="en-US" w:eastAsia="zh-CN"/>
        </w:rPr>
      </w:pPr>
      <w:r>
        <w:rPr>
          <w:rFonts w:hint="default"/>
          <w:lang w:val="en-US" w:eastAsia="zh-CN"/>
        </w:rPr>
        <w:t>本项目自动控制系统、液位监控系统、紧急切断系统为一级负荷中特别重要的负荷</w:t>
      </w:r>
      <w:r>
        <w:rPr>
          <w:rFonts w:hint="eastAsia"/>
          <w:lang w:val="en-US" w:eastAsia="zh-CN"/>
        </w:rPr>
        <w:t>；</w:t>
      </w:r>
      <w:r>
        <w:rPr>
          <w:rFonts w:hint="default"/>
          <w:lang w:val="en-US" w:eastAsia="zh-CN"/>
        </w:rPr>
        <w:t>视频监控系统为二级用电负荷</w:t>
      </w:r>
      <w:r>
        <w:rPr>
          <w:rFonts w:hint="eastAsia"/>
          <w:lang w:val="en-US" w:eastAsia="zh-CN"/>
        </w:rPr>
        <w:t>；</w:t>
      </w:r>
      <w:r>
        <w:rPr>
          <w:rFonts w:hint="default"/>
          <w:lang w:val="en-US" w:eastAsia="zh-CN"/>
        </w:rPr>
        <w:t>其它用电负荷为三级。</w:t>
      </w:r>
    </w:p>
    <w:p w14:paraId="6C4A05A2">
      <w:pPr>
        <w:rPr>
          <w:rFonts w:hint="default"/>
          <w:b/>
          <w:bCs/>
          <w:color w:val="0000FF"/>
          <w:lang w:val="en-US" w:eastAsia="zh-CN"/>
        </w:rPr>
      </w:pPr>
      <w:r>
        <w:rPr>
          <w:rFonts w:hint="eastAsia"/>
          <w:b w:val="0"/>
          <w:bCs w:val="0"/>
          <w:color w:val="auto"/>
          <w:lang w:val="en-US" w:eastAsia="zh-CN"/>
        </w:rPr>
        <w:t>矿区有备用应急柴油发电机，可作为</w:t>
      </w:r>
      <w:r>
        <w:rPr>
          <w:rFonts w:hint="default"/>
          <w:b w:val="0"/>
          <w:bCs w:val="0"/>
          <w:color w:val="auto"/>
          <w:lang w:val="en-US" w:eastAsia="zh-CN"/>
        </w:rPr>
        <w:t>自动控制系统、液位监控系统、紧急切断系统、视频监控系统</w:t>
      </w:r>
      <w:r>
        <w:rPr>
          <w:rFonts w:hint="eastAsia"/>
          <w:b w:val="0"/>
          <w:bCs w:val="0"/>
          <w:color w:val="auto"/>
          <w:lang w:val="en-US" w:eastAsia="zh-CN"/>
        </w:rPr>
        <w:t>的备用电源。</w:t>
      </w:r>
    </w:p>
    <w:p w14:paraId="5571A643">
      <w:pPr>
        <w:rPr>
          <w:rFonts w:hint="default"/>
          <w:lang w:val="en-US" w:eastAsia="zh-CN"/>
        </w:rPr>
      </w:pPr>
      <w:r>
        <w:rPr>
          <w:rFonts w:hint="eastAsia"/>
          <w:lang w:val="en-US" w:eastAsia="zh-CN"/>
        </w:rPr>
        <w:t>二</w:t>
      </w:r>
      <w:r>
        <w:rPr>
          <w:rFonts w:hint="default"/>
          <w:lang w:val="en-US" w:eastAsia="zh-CN"/>
        </w:rPr>
        <w:t>、配电线路</w:t>
      </w:r>
    </w:p>
    <w:p w14:paraId="5888AA24">
      <w:pPr>
        <w:rPr>
          <w:rFonts w:hint="default"/>
          <w:lang w:val="en-US" w:eastAsia="zh-CN"/>
        </w:rPr>
      </w:pPr>
      <w:r>
        <w:rPr>
          <w:rFonts w:hint="default"/>
          <w:lang w:val="en-US" w:eastAsia="zh-CN"/>
        </w:rPr>
        <w:t>低压进线电力电缆室外穿管埋地敷设；动力配电柜至各用电设备，电力电缆穿钢管埋地敷设。动力、通讯电缆分开敷设</w:t>
      </w:r>
      <w:r>
        <w:rPr>
          <w:rFonts w:hint="eastAsia"/>
          <w:lang w:val="en-US" w:eastAsia="zh-CN"/>
        </w:rPr>
        <w:t>。</w:t>
      </w:r>
    </w:p>
    <w:p w14:paraId="136E739A">
      <w:pPr>
        <w:rPr>
          <w:rFonts w:hint="default"/>
          <w:lang w:val="en-US" w:eastAsia="zh-CN"/>
        </w:rPr>
      </w:pPr>
      <w:r>
        <w:rPr>
          <w:rFonts w:hint="eastAsia"/>
          <w:lang w:val="en-US" w:eastAsia="zh-CN"/>
        </w:rPr>
        <w:t>三</w:t>
      </w:r>
      <w:r>
        <w:rPr>
          <w:rFonts w:hint="default"/>
          <w:lang w:val="en-US" w:eastAsia="zh-CN"/>
        </w:rPr>
        <w:t>、照明</w:t>
      </w:r>
    </w:p>
    <w:p w14:paraId="1BE44B9D">
      <w:pPr>
        <w:rPr>
          <w:rFonts w:hint="default"/>
          <w:b w:val="0"/>
          <w:bCs w:val="0"/>
          <w:color w:val="auto"/>
          <w:lang w:val="en-US" w:eastAsia="zh-CN"/>
        </w:rPr>
      </w:pPr>
      <w:r>
        <w:rPr>
          <w:rFonts w:hint="default"/>
          <w:b w:val="0"/>
          <w:bCs w:val="0"/>
          <w:color w:val="auto"/>
          <w:lang w:val="en-US" w:eastAsia="zh-CN"/>
        </w:rPr>
        <w:t>自用撬装加油装置</w:t>
      </w:r>
      <w:r>
        <w:rPr>
          <w:rFonts w:hint="eastAsia"/>
          <w:b w:val="0"/>
          <w:bCs w:val="0"/>
          <w:color w:val="auto"/>
          <w:lang w:val="en-US" w:eastAsia="zh-CN"/>
        </w:rPr>
        <w:t>内部设有照明</w:t>
      </w:r>
      <w:r>
        <w:rPr>
          <w:rFonts w:hint="default"/>
          <w:b w:val="0"/>
          <w:bCs w:val="0"/>
          <w:color w:val="auto"/>
          <w:lang w:val="en-US" w:eastAsia="zh-CN"/>
        </w:rPr>
        <w:t>灯具。</w:t>
      </w:r>
    </w:p>
    <w:p w14:paraId="7ADD6EB0">
      <w:pPr>
        <w:rPr>
          <w:rFonts w:hint="default"/>
          <w:color w:val="auto"/>
          <w:lang w:val="en-US" w:eastAsia="zh-CN"/>
        </w:rPr>
      </w:pPr>
      <w:r>
        <w:rPr>
          <w:rFonts w:hint="default"/>
          <w:color w:val="auto"/>
          <w:lang w:val="en-US" w:eastAsia="zh-CN"/>
        </w:rPr>
        <w:t>自用撬装加油装置</w:t>
      </w:r>
      <w:r>
        <w:rPr>
          <w:rFonts w:hint="eastAsia"/>
          <w:color w:val="auto"/>
          <w:lang w:val="en-US" w:eastAsia="zh-CN"/>
        </w:rPr>
        <w:t>东侧废弃房屋墙上</w:t>
      </w:r>
      <w:r>
        <w:rPr>
          <w:rFonts w:hint="default"/>
          <w:color w:val="auto"/>
          <w:lang w:val="en-US" w:eastAsia="zh-CN"/>
        </w:rPr>
        <w:t>设置</w:t>
      </w:r>
      <w:r>
        <w:rPr>
          <w:rFonts w:hint="eastAsia"/>
          <w:color w:val="auto"/>
          <w:lang w:val="en-US" w:eastAsia="zh-CN"/>
        </w:rPr>
        <w:t>有</w:t>
      </w:r>
      <w:r>
        <w:rPr>
          <w:rFonts w:hint="default"/>
          <w:color w:val="auto"/>
          <w:lang w:val="en-US" w:eastAsia="zh-CN"/>
        </w:rPr>
        <w:t>应急疏散照明灯具，持续工作的时间大于90min，出入口处疏散照明照度值不低于30Lx。</w:t>
      </w:r>
    </w:p>
    <w:p w14:paraId="3BC19012">
      <w:pPr>
        <w:pStyle w:val="4"/>
        <w:bidi w:val="0"/>
        <w:rPr>
          <w:rFonts w:hint="default"/>
          <w:lang w:val="en-US" w:eastAsia="zh-CN"/>
        </w:rPr>
      </w:pPr>
      <w:bookmarkStart w:id="34" w:name="_Toc20913"/>
      <w:r>
        <w:rPr>
          <w:rFonts w:hint="default"/>
          <w:lang w:val="en-US" w:eastAsia="zh-CN"/>
        </w:rPr>
        <w:t>2.7.</w:t>
      </w:r>
      <w:r>
        <w:rPr>
          <w:rFonts w:hint="eastAsia"/>
          <w:lang w:val="en-US" w:eastAsia="zh-CN"/>
        </w:rPr>
        <w:t>2</w:t>
      </w:r>
      <w:r>
        <w:rPr>
          <w:rFonts w:hint="default"/>
          <w:lang w:val="en-US" w:eastAsia="zh-CN"/>
        </w:rPr>
        <w:t xml:space="preserve"> 消防设施</w:t>
      </w:r>
      <w:bookmarkEnd w:id="34"/>
    </w:p>
    <w:p w14:paraId="17258161">
      <w:pPr>
        <w:rPr>
          <w:rFonts w:hint="default" w:ascii="Times New Roman" w:hAnsi="Times New Roman" w:eastAsia="宋体" w:cs="Times New Roman"/>
          <w:b w:val="0"/>
          <w:bCs w:val="0"/>
          <w:color w:val="auto"/>
          <w:kern w:val="2"/>
          <w:sz w:val="28"/>
          <w:szCs w:val="24"/>
          <w:lang w:val="en-US" w:eastAsia="zh-CN" w:bidi="ar-SA"/>
        </w:rPr>
      </w:pPr>
      <w:r>
        <w:rPr>
          <w:rFonts w:hint="default" w:ascii="Times New Roman" w:hAnsi="Times New Roman" w:eastAsia="宋体" w:cs="Times New Roman"/>
          <w:b w:val="0"/>
          <w:bCs w:val="0"/>
          <w:color w:val="auto"/>
          <w:kern w:val="2"/>
          <w:sz w:val="28"/>
          <w:szCs w:val="24"/>
          <w:lang w:val="en-US" w:eastAsia="zh-CN" w:bidi="ar-SA"/>
        </w:rPr>
        <w:t>根据《汽车加油加气加氢站技术标准》</w:t>
      </w:r>
      <w:r>
        <w:rPr>
          <w:rFonts w:hint="eastAsia" w:ascii="Times New Roman" w:hAnsi="Times New Roman" w:eastAsia="宋体" w:cs="Times New Roman"/>
          <w:b w:val="0"/>
          <w:bCs w:val="0"/>
          <w:color w:val="auto"/>
          <w:kern w:val="2"/>
          <w:sz w:val="28"/>
          <w:szCs w:val="24"/>
          <w:lang w:val="en-US" w:eastAsia="zh-CN" w:bidi="ar-SA"/>
        </w:rPr>
        <w:t>（</w:t>
      </w:r>
      <w:r>
        <w:rPr>
          <w:rFonts w:hint="default" w:ascii="Times New Roman" w:hAnsi="Times New Roman" w:eastAsia="宋体" w:cs="Times New Roman"/>
          <w:b w:val="0"/>
          <w:bCs w:val="0"/>
          <w:color w:val="auto"/>
          <w:kern w:val="2"/>
          <w:sz w:val="28"/>
          <w:szCs w:val="24"/>
          <w:lang w:val="en-US" w:eastAsia="zh-CN" w:bidi="ar-SA"/>
        </w:rPr>
        <w:t>GB 50156-2021</w:t>
      </w:r>
      <w:r>
        <w:rPr>
          <w:rFonts w:hint="eastAsia" w:ascii="Times New Roman" w:hAnsi="Times New Roman" w:eastAsia="宋体" w:cs="Times New Roman"/>
          <w:b w:val="0"/>
          <w:bCs w:val="0"/>
          <w:color w:val="auto"/>
          <w:kern w:val="2"/>
          <w:sz w:val="28"/>
          <w:szCs w:val="24"/>
          <w:lang w:val="en-US" w:eastAsia="zh-CN" w:bidi="ar-SA"/>
        </w:rPr>
        <w:t>）</w:t>
      </w:r>
      <w:r>
        <w:rPr>
          <w:rFonts w:hint="default" w:ascii="Times New Roman" w:hAnsi="Times New Roman" w:eastAsia="宋体" w:cs="Times New Roman"/>
          <w:b w:val="0"/>
          <w:bCs w:val="0"/>
          <w:color w:val="auto"/>
          <w:kern w:val="2"/>
          <w:sz w:val="28"/>
          <w:szCs w:val="24"/>
          <w:lang w:val="en-US" w:eastAsia="zh-CN" w:bidi="ar-SA"/>
        </w:rPr>
        <w:t>中12.2.3规定，加油站可不设消防给水系统。</w:t>
      </w:r>
    </w:p>
    <w:p w14:paraId="4ACD4EF9">
      <w:pPr>
        <w:rPr>
          <w:rFonts w:hint="default" w:ascii="Times New Roman" w:hAnsi="Times New Roman" w:eastAsia="宋体" w:cs="Times New Roman"/>
          <w:b w:val="0"/>
          <w:bCs w:val="0"/>
          <w:color w:val="auto"/>
          <w:kern w:val="2"/>
          <w:sz w:val="28"/>
          <w:szCs w:val="24"/>
          <w:lang w:val="en-US" w:eastAsia="zh-CN" w:bidi="ar-SA"/>
        </w:rPr>
      </w:pPr>
      <w:r>
        <w:rPr>
          <w:rFonts w:hint="default" w:ascii="Times New Roman" w:hAnsi="Times New Roman" w:eastAsia="宋体" w:cs="Times New Roman"/>
          <w:b w:val="0"/>
          <w:bCs w:val="0"/>
          <w:color w:val="auto"/>
          <w:kern w:val="2"/>
          <w:sz w:val="28"/>
          <w:szCs w:val="24"/>
          <w:lang w:val="en-US" w:eastAsia="zh-CN" w:bidi="ar-SA"/>
        </w:rPr>
        <w:t>本项目依托厂区原消防控制室。</w:t>
      </w:r>
    </w:p>
    <w:p w14:paraId="503070F5">
      <w:pPr>
        <w:rPr>
          <w:rFonts w:hint="default" w:ascii="Times New Roman" w:hAnsi="Times New Roman" w:eastAsia="宋体" w:cs="Times New Roman"/>
          <w:b w:val="0"/>
          <w:bCs w:val="0"/>
          <w:color w:val="auto"/>
          <w:kern w:val="2"/>
          <w:sz w:val="28"/>
          <w:szCs w:val="24"/>
          <w:lang w:val="en-US" w:eastAsia="zh-CN" w:bidi="ar-SA"/>
        </w:rPr>
      </w:pPr>
      <w:r>
        <w:rPr>
          <w:rFonts w:hint="default" w:ascii="Times New Roman" w:hAnsi="Times New Roman" w:eastAsia="宋体" w:cs="Times New Roman"/>
          <w:b w:val="0"/>
          <w:bCs w:val="0"/>
          <w:color w:val="auto"/>
          <w:kern w:val="2"/>
          <w:sz w:val="28"/>
          <w:szCs w:val="24"/>
          <w:lang w:val="en-US" w:eastAsia="zh-CN" w:bidi="ar-SA"/>
        </w:rPr>
        <w:t>该站灭火器材配置如下：</w:t>
      </w:r>
    </w:p>
    <w:p w14:paraId="0728C8AD">
      <w:pPr>
        <w:rPr>
          <w:rFonts w:hint="default" w:ascii="Times New Roman" w:hAnsi="Times New Roman" w:eastAsia="宋体" w:cs="Times New Roman"/>
          <w:b w:val="0"/>
          <w:bCs w:val="0"/>
          <w:color w:val="auto"/>
          <w:kern w:val="2"/>
          <w:sz w:val="28"/>
          <w:szCs w:val="24"/>
          <w:lang w:val="en-US" w:eastAsia="zh-CN" w:bidi="ar-SA"/>
        </w:rPr>
      </w:pPr>
      <w:r>
        <w:rPr>
          <w:rFonts w:hint="default" w:ascii="Times New Roman" w:hAnsi="Times New Roman" w:eastAsia="宋体" w:cs="Times New Roman"/>
          <w:b w:val="0"/>
          <w:bCs w:val="0"/>
          <w:color w:val="auto"/>
          <w:kern w:val="2"/>
          <w:sz w:val="28"/>
          <w:szCs w:val="24"/>
          <w:lang w:val="en-US" w:eastAsia="zh-CN" w:bidi="ar-SA"/>
        </w:rPr>
        <w:t>撬装加油装置自带自动灭火装置。</w:t>
      </w:r>
      <w:r>
        <w:rPr>
          <w:rFonts w:hint="eastAsia" w:ascii="Times New Roman" w:hAnsi="Times New Roman" w:eastAsia="宋体" w:cs="Times New Roman"/>
          <w:b w:val="0"/>
          <w:bCs w:val="0"/>
          <w:color w:val="auto"/>
          <w:kern w:val="2"/>
          <w:sz w:val="28"/>
          <w:szCs w:val="24"/>
          <w:lang w:val="en-US" w:eastAsia="zh-CN" w:bidi="ar-SA"/>
        </w:rPr>
        <w:t>本</w:t>
      </w:r>
      <w:r>
        <w:rPr>
          <w:rFonts w:hint="default" w:ascii="Times New Roman" w:hAnsi="Times New Roman" w:eastAsia="宋体" w:cs="Times New Roman"/>
          <w:b w:val="0"/>
          <w:bCs w:val="0"/>
          <w:color w:val="auto"/>
          <w:kern w:val="2"/>
          <w:sz w:val="28"/>
          <w:szCs w:val="24"/>
          <w:lang w:val="en-US" w:eastAsia="zh-CN" w:bidi="ar-SA"/>
        </w:rPr>
        <w:t>项目</w:t>
      </w:r>
      <w:r>
        <w:rPr>
          <w:rFonts w:hint="eastAsia"/>
          <w:b w:val="0"/>
          <w:bCs w:val="0"/>
          <w:color w:val="auto"/>
          <w:lang w:val="en-US" w:eastAsia="zh-CN"/>
        </w:rPr>
        <w:t>东侧废弃房屋内配有一具</w:t>
      </w:r>
      <w:r>
        <w:rPr>
          <w:b w:val="0"/>
          <w:bCs w:val="0"/>
          <w:color w:val="auto"/>
        </w:rPr>
        <w:t>MFT/ABC35</w:t>
      </w:r>
      <w:r>
        <w:rPr>
          <w:rFonts w:hint="eastAsia"/>
          <w:b w:val="0"/>
          <w:bCs w:val="0"/>
          <w:color w:val="auto"/>
          <w:lang w:val="en-US" w:eastAsia="zh-CN"/>
        </w:rPr>
        <w:t>和4</w:t>
      </w:r>
      <w:r>
        <w:rPr>
          <w:b w:val="0"/>
          <w:bCs w:val="0"/>
          <w:color w:val="auto"/>
          <w:sz w:val="28"/>
        </w:rPr>
        <w:t>具</w:t>
      </w:r>
      <w:r>
        <w:rPr>
          <w:b w:val="0"/>
          <w:bCs w:val="0"/>
          <w:color w:val="auto"/>
        </w:rPr>
        <w:t>MF/ABC</w:t>
      </w:r>
      <w:r>
        <w:t>5</w:t>
      </w:r>
      <w:r>
        <w:rPr>
          <w:color w:val="auto"/>
          <w:sz w:val="28"/>
        </w:rPr>
        <w:t>灭火</w:t>
      </w:r>
      <w:r>
        <w:rPr>
          <w:b w:val="0"/>
          <w:bCs w:val="0"/>
          <w:color w:val="auto"/>
          <w:sz w:val="28"/>
        </w:rPr>
        <w:t>器</w:t>
      </w:r>
      <w:r>
        <w:rPr>
          <w:rFonts w:hint="eastAsia"/>
          <w:b w:val="0"/>
          <w:bCs w:val="0"/>
          <w:color w:val="auto"/>
          <w:sz w:val="28"/>
          <w:lang w:eastAsia="zh-CN"/>
        </w:rPr>
        <w:t>、</w:t>
      </w:r>
      <w:r>
        <w:rPr>
          <w:rFonts w:hint="default" w:ascii="Times New Roman" w:hAnsi="Times New Roman" w:eastAsia="宋体" w:cs="Times New Roman"/>
          <w:b w:val="0"/>
          <w:bCs w:val="0"/>
          <w:color w:val="auto"/>
          <w:kern w:val="2"/>
          <w:sz w:val="28"/>
          <w:szCs w:val="24"/>
          <w:lang w:val="en-US" w:eastAsia="zh-CN" w:bidi="ar-SA"/>
        </w:rPr>
        <w:t>2把消防铲、2块灭火毯、2具消防沙桶等消防设施</w:t>
      </w:r>
      <w:r>
        <w:rPr>
          <w:rFonts w:hint="eastAsia" w:ascii="Times New Roman" w:hAnsi="Times New Roman" w:eastAsia="宋体" w:cs="Times New Roman"/>
          <w:b w:val="0"/>
          <w:bCs w:val="0"/>
          <w:color w:val="auto"/>
          <w:kern w:val="2"/>
          <w:sz w:val="28"/>
          <w:szCs w:val="24"/>
          <w:lang w:val="en-US" w:eastAsia="zh-CN" w:bidi="ar-SA"/>
        </w:rPr>
        <w:t>；</w:t>
      </w:r>
      <w:r>
        <w:rPr>
          <w:rFonts w:hint="eastAsia"/>
          <w:b w:val="0"/>
          <w:bCs w:val="0"/>
          <w:color w:val="auto"/>
          <w:lang w:val="en-US" w:eastAsia="zh-CN"/>
        </w:rPr>
        <w:t>废弃房屋外配备有</w:t>
      </w:r>
      <w:r>
        <w:rPr>
          <w:rFonts w:hint="default" w:ascii="Times New Roman" w:hAnsi="Times New Roman" w:eastAsia="宋体" w:cs="Times New Roman"/>
          <w:b w:val="0"/>
          <w:bCs w:val="0"/>
          <w:color w:val="auto"/>
          <w:kern w:val="2"/>
          <w:sz w:val="28"/>
          <w:szCs w:val="24"/>
          <w:lang w:val="en-US" w:eastAsia="zh-CN" w:bidi="ar-SA"/>
        </w:rPr>
        <w:t>2m</w:t>
      </w:r>
      <w:r>
        <w:rPr>
          <w:rFonts w:hint="default" w:ascii="Times New Roman" w:hAnsi="Times New Roman" w:eastAsia="宋体" w:cs="Times New Roman"/>
          <w:b w:val="0"/>
          <w:bCs w:val="0"/>
          <w:color w:val="auto"/>
          <w:kern w:val="2"/>
          <w:sz w:val="28"/>
          <w:szCs w:val="24"/>
          <w:vertAlign w:val="superscript"/>
          <w:lang w:val="en-US" w:eastAsia="zh-CN" w:bidi="ar-SA"/>
        </w:rPr>
        <w:t>3</w:t>
      </w:r>
      <w:r>
        <w:rPr>
          <w:rFonts w:hint="default" w:ascii="Times New Roman" w:hAnsi="Times New Roman" w:eastAsia="宋体" w:cs="Times New Roman"/>
          <w:b w:val="0"/>
          <w:bCs w:val="0"/>
          <w:color w:val="auto"/>
          <w:kern w:val="2"/>
          <w:sz w:val="28"/>
          <w:szCs w:val="24"/>
          <w:lang w:val="en-US" w:eastAsia="zh-CN" w:bidi="ar-SA"/>
        </w:rPr>
        <w:t>消防沙</w:t>
      </w:r>
      <w:r>
        <w:rPr>
          <w:rFonts w:hint="eastAsia" w:ascii="Times New Roman" w:hAnsi="Times New Roman" w:eastAsia="宋体" w:cs="Times New Roman"/>
          <w:b w:val="0"/>
          <w:bCs w:val="0"/>
          <w:color w:val="auto"/>
          <w:kern w:val="2"/>
          <w:sz w:val="28"/>
          <w:szCs w:val="24"/>
          <w:lang w:val="en-US" w:eastAsia="zh-CN" w:bidi="ar-SA"/>
        </w:rPr>
        <w:t>。</w:t>
      </w:r>
    </w:p>
    <w:p w14:paraId="4BFBAC29">
      <w:pPr>
        <w:pStyle w:val="4"/>
        <w:bidi w:val="0"/>
        <w:rPr>
          <w:rFonts w:hint="default"/>
          <w:lang w:val="en-US" w:eastAsia="zh-CN"/>
        </w:rPr>
      </w:pPr>
      <w:bookmarkStart w:id="35" w:name="_Toc32602"/>
      <w:r>
        <w:rPr>
          <w:rFonts w:hint="eastAsia"/>
          <w:lang w:val="en-US" w:eastAsia="zh-CN"/>
        </w:rPr>
        <w:t>2.7.3 给排水</w:t>
      </w:r>
      <w:bookmarkEnd w:id="35"/>
    </w:p>
    <w:p w14:paraId="1B41D3EE">
      <w:pPr>
        <w:rPr>
          <w:rFonts w:hint="default" w:ascii="Times New Roman" w:hAnsi="Times New Roman" w:eastAsia="宋体" w:cs="Times New Roman"/>
          <w:b w:val="0"/>
          <w:bCs w:val="0"/>
          <w:color w:val="auto"/>
          <w:kern w:val="2"/>
          <w:sz w:val="28"/>
          <w:szCs w:val="24"/>
          <w:lang w:val="en-US" w:eastAsia="zh-CN" w:bidi="ar-SA"/>
        </w:rPr>
      </w:pPr>
      <w:r>
        <w:rPr>
          <w:rFonts w:hint="eastAsia"/>
          <w:b w:val="0"/>
          <w:bCs w:val="0"/>
          <w:color w:val="auto"/>
          <w:lang w:val="en-US" w:eastAsia="zh-CN"/>
        </w:rPr>
        <w:t>本项目</w:t>
      </w:r>
      <w:r>
        <w:rPr>
          <w:rFonts w:hint="default"/>
          <w:b w:val="0"/>
          <w:bCs w:val="0"/>
          <w:color w:val="auto"/>
          <w:lang w:val="en-US" w:eastAsia="zh-CN"/>
        </w:rPr>
        <w:t>场地地形地貌较为简单，地势平坦。在竖向布置上采取</w:t>
      </w:r>
      <w:r>
        <w:rPr>
          <w:rFonts w:hint="eastAsia"/>
          <w:b w:val="0"/>
          <w:bCs w:val="0"/>
          <w:color w:val="auto"/>
          <w:lang w:val="en-US" w:eastAsia="zh-CN"/>
        </w:rPr>
        <w:t>了</w:t>
      </w:r>
      <w:r>
        <w:rPr>
          <w:rFonts w:hint="default"/>
          <w:b w:val="0"/>
          <w:bCs w:val="0"/>
          <w:color w:val="auto"/>
          <w:lang w:val="en-US" w:eastAsia="zh-CN"/>
        </w:rPr>
        <w:t>相应的雨水排除措施。</w:t>
      </w:r>
    </w:p>
    <w:p w14:paraId="4480F7F2">
      <w:pPr>
        <w:pStyle w:val="4"/>
        <w:bidi w:val="0"/>
        <w:rPr>
          <w:rFonts w:hint="default"/>
          <w:lang w:val="en-US" w:eastAsia="zh-CN"/>
        </w:rPr>
      </w:pPr>
      <w:bookmarkStart w:id="36" w:name="_Toc7487"/>
      <w:r>
        <w:rPr>
          <w:rFonts w:hint="default"/>
          <w:lang w:val="en-US" w:eastAsia="zh-CN"/>
        </w:rPr>
        <w:t>2.7.</w:t>
      </w:r>
      <w:r>
        <w:rPr>
          <w:rFonts w:hint="eastAsia"/>
          <w:lang w:val="en-US" w:eastAsia="zh-CN"/>
        </w:rPr>
        <w:t>4</w:t>
      </w:r>
      <w:r>
        <w:rPr>
          <w:rFonts w:hint="default"/>
          <w:lang w:val="en-US" w:eastAsia="zh-CN"/>
        </w:rPr>
        <w:t xml:space="preserve"> 防雷、防静电</w:t>
      </w:r>
      <w:bookmarkEnd w:id="36"/>
    </w:p>
    <w:p w14:paraId="35404BC5">
      <w:pPr>
        <w:rPr>
          <w:rFonts w:hint="default"/>
          <w:lang w:val="en-US" w:eastAsia="zh-CN"/>
        </w:rPr>
      </w:pPr>
      <w:r>
        <w:rPr>
          <w:rFonts w:hint="default"/>
          <w:lang w:val="en-US" w:eastAsia="zh-CN"/>
        </w:rPr>
        <w:t>1</w:t>
      </w:r>
      <w:r>
        <w:rPr>
          <w:rFonts w:hint="eastAsia"/>
          <w:lang w:val="en-US" w:eastAsia="zh-CN"/>
        </w:rPr>
        <w:t xml:space="preserve">. </w:t>
      </w:r>
      <w:r>
        <w:rPr>
          <w:rFonts w:hint="default"/>
          <w:lang w:val="en-US" w:eastAsia="zh-CN"/>
        </w:rPr>
        <w:t>防雷、防静电接地设施</w:t>
      </w:r>
    </w:p>
    <w:p w14:paraId="3A7909A6">
      <w:pPr>
        <w:rPr>
          <w:rFonts w:hint="default"/>
          <w:lang w:val="en-US" w:eastAsia="zh-CN"/>
        </w:rPr>
      </w:pPr>
      <w:r>
        <w:rPr>
          <w:rFonts w:hint="default"/>
          <w:lang w:val="en-US" w:eastAsia="zh-CN"/>
        </w:rPr>
        <w:t>（1）防雷、防静电接地、电气设备的工作接地、保护接地及信息系统的接地等共用接地装置，其接地电阻R</w:t>
      </w:r>
      <w:r>
        <w:rPr>
          <w:rFonts w:hint="eastAsia"/>
          <w:lang w:val="en-US" w:eastAsia="zh-CN"/>
        </w:rPr>
        <w:t>≤</w:t>
      </w:r>
      <w:r>
        <w:rPr>
          <w:rFonts w:hint="default"/>
          <w:lang w:val="en-US" w:eastAsia="zh-CN"/>
        </w:rPr>
        <w:t>4Ω。</w:t>
      </w:r>
    </w:p>
    <w:p w14:paraId="2E09CC22">
      <w:pPr>
        <w:rPr>
          <w:rFonts w:hint="default"/>
          <w:lang w:val="en-US" w:eastAsia="zh-CN"/>
        </w:rPr>
      </w:pPr>
      <w:r>
        <w:rPr>
          <w:rFonts w:hint="default"/>
          <w:lang w:val="en-US" w:eastAsia="zh-CN"/>
        </w:rPr>
        <w:t>（2）利用撬装加油装置的顶棚作为接闪器，撬装加油装置顶面为多层金属板，上层为金属板，其下为阻燃的夹层、吊顶材料，热镀锌钢板厚度大于0.5mm，接闪器与钢结构引下线可靠焊接。</w:t>
      </w:r>
    </w:p>
    <w:p w14:paraId="07275AD0">
      <w:pPr>
        <w:rPr>
          <w:rFonts w:hint="default"/>
          <w:lang w:val="en-US" w:eastAsia="zh-CN"/>
        </w:rPr>
      </w:pPr>
      <w:r>
        <w:rPr>
          <w:rFonts w:hint="default"/>
          <w:lang w:val="en-US" w:eastAsia="zh-CN"/>
        </w:rPr>
        <w:t>（3）撬装设备及储罐必须做防雷接地，接地点不少于两处。</w:t>
      </w:r>
    </w:p>
    <w:p w14:paraId="0033B159">
      <w:pPr>
        <w:rPr>
          <w:rFonts w:hint="default"/>
          <w:lang w:val="en-US" w:eastAsia="zh-CN"/>
        </w:rPr>
      </w:pPr>
      <w:r>
        <w:rPr>
          <w:rFonts w:hint="default"/>
          <w:lang w:val="en-US" w:eastAsia="zh-CN"/>
        </w:rPr>
        <w:t>（4）撬体上的所有电气设备、工艺设备、管道、罐体等的外接地点都通过专用连接线和接地撬座连接，接地撬座与接地网相连接。</w:t>
      </w:r>
    </w:p>
    <w:p w14:paraId="7E9BDCF4">
      <w:pPr>
        <w:rPr>
          <w:rFonts w:hint="default"/>
          <w:lang w:val="en-US" w:eastAsia="zh-CN"/>
        </w:rPr>
      </w:pPr>
      <w:r>
        <w:rPr>
          <w:rFonts w:hint="default"/>
          <w:lang w:val="en-US" w:eastAsia="zh-CN"/>
        </w:rPr>
        <w:t>（5）油罐以及油罐顶部的金属部件和罐内的各金属部件，均与工艺管道相互做电气连接并接地。所有工艺金属设备、管道等均与接地装置连接。管道法兰的连接螺栓少于5根时，法兰采用金属导线跨接。</w:t>
      </w:r>
    </w:p>
    <w:p w14:paraId="51BFABB2">
      <w:pPr>
        <w:rPr>
          <w:rFonts w:hint="default"/>
          <w:lang w:val="en-US" w:eastAsia="zh-CN"/>
        </w:rPr>
      </w:pPr>
      <w:r>
        <w:rPr>
          <w:rFonts w:hint="default"/>
          <w:lang w:val="en-US" w:eastAsia="zh-CN"/>
        </w:rPr>
        <w:t>（6）卸车场地设卸车时的防静电接地装置，并设置能检测跨接线及监视接地装置状态的静电接地报警仪。</w:t>
      </w:r>
    </w:p>
    <w:p w14:paraId="19FD580D">
      <w:pPr>
        <w:rPr>
          <w:rFonts w:hint="default"/>
          <w:lang w:val="en-US" w:eastAsia="zh-CN"/>
        </w:rPr>
      </w:pPr>
      <w:r>
        <w:rPr>
          <w:rFonts w:hint="default"/>
          <w:lang w:val="en-US" w:eastAsia="zh-CN"/>
        </w:rPr>
        <w:t>（7）配电电缆金属外皮两端、保护钢管两端均应接地；进入防爆区域的电缆（线）保护管用防爆胶泥密封。</w:t>
      </w:r>
    </w:p>
    <w:p w14:paraId="3F618EA0">
      <w:pPr>
        <w:rPr>
          <w:rFonts w:hint="default"/>
          <w:lang w:val="en-US" w:eastAsia="zh-CN"/>
        </w:rPr>
      </w:pPr>
      <w:r>
        <w:rPr>
          <w:rFonts w:hint="default"/>
          <w:lang w:val="en-US" w:eastAsia="zh-CN"/>
        </w:rPr>
        <w:t>（8）接地装置接地极采用∠50*50*5热镀锌角钢，接地线采用</w:t>
      </w:r>
      <w:r>
        <w:rPr>
          <w:rFonts w:hint="eastAsia" w:ascii="宋体" w:hAnsi="宋体" w:eastAsia="宋体" w:cs="宋体"/>
          <w:lang w:val="en-US" w:eastAsia="zh-CN"/>
        </w:rPr>
        <w:t>-</w:t>
      </w:r>
      <w:r>
        <w:rPr>
          <w:rFonts w:hint="default"/>
          <w:lang w:val="en-US" w:eastAsia="zh-CN"/>
        </w:rPr>
        <w:t>40*4mm热镀锌扁钢，焊接连接，埋深不小于0.8</w:t>
      </w:r>
      <w:r>
        <w:rPr>
          <w:rFonts w:hint="eastAsia"/>
          <w:lang w:val="en-US" w:eastAsia="zh-CN"/>
        </w:rPr>
        <w:t>m</w:t>
      </w:r>
      <w:r>
        <w:rPr>
          <w:rFonts w:hint="default"/>
          <w:lang w:val="en-US" w:eastAsia="zh-CN"/>
        </w:rPr>
        <w:t>；焊接处做防腐；接地处做测试点。</w:t>
      </w:r>
    </w:p>
    <w:p w14:paraId="44AFA7B3">
      <w:pPr>
        <w:rPr>
          <w:rFonts w:hint="default"/>
          <w:lang w:val="en-US" w:eastAsia="zh-CN"/>
        </w:rPr>
      </w:pPr>
      <w:r>
        <w:rPr>
          <w:rFonts w:hint="default"/>
          <w:lang w:val="en-US" w:eastAsia="zh-CN"/>
        </w:rPr>
        <w:t>（9）高出地面的通气口与接地网相连，做良好的电气连接；给水系统的水表、连接螺栓少于5根的工艺管线法兰均用TRJ10mm</w:t>
      </w:r>
      <w:r>
        <w:rPr>
          <w:rFonts w:hint="default"/>
          <w:vertAlign w:val="superscript"/>
          <w:lang w:val="en-US" w:eastAsia="zh-CN"/>
        </w:rPr>
        <w:t>2</w:t>
      </w:r>
      <w:r>
        <w:rPr>
          <w:rFonts w:hint="default"/>
          <w:lang w:val="en-US" w:eastAsia="zh-CN"/>
        </w:rPr>
        <w:t>作防静电跨接。</w:t>
      </w:r>
    </w:p>
    <w:p w14:paraId="4E6225A9">
      <w:pPr>
        <w:rPr>
          <w:rFonts w:hint="default"/>
          <w:lang w:val="en-US" w:eastAsia="zh-CN"/>
        </w:rPr>
      </w:pPr>
      <w:r>
        <w:rPr>
          <w:rFonts w:hint="default"/>
          <w:lang w:val="en-US" w:eastAsia="zh-CN"/>
        </w:rPr>
        <w:t>（10）用电、配电、控制设备的金属外壳、金属灯具的外壳必须与保护线可靠连接。</w:t>
      </w:r>
    </w:p>
    <w:p w14:paraId="65A99644">
      <w:pPr>
        <w:rPr>
          <w:rFonts w:hint="default"/>
          <w:lang w:val="en-US" w:eastAsia="zh-CN"/>
        </w:rPr>
      </w:pPr>
      <w:r>
        <w:rPr>
          <w:rFonts w:hint="default"/>
          <w:lang w:val="en-US" w:eastAsia="zh-CN"/>
        </w:rPr>
        <w:t>（11）强弱电系统安装电涌保护器保护并做接地。</w:t>
      </w:r>
    </w:p>
    <w:p w14:paraId="6A21452D">
      <w:pPr>
        <w:rPr>
          <w:rFonts w:hint="default"/>
          <w:lang w:val="en-US" w:eastAsia="zh-CN"/>
        </w:rPr>
      </w:pPr>
      <w:r>
        <w:rPr>
          <w:rFonts w:hint="default"/>
          <w:lang w:val="en-US" w:eastAsia="zh-CN"/>
        </w:rPr>
        <w:t>（12）油罐车卸油用的卸油软管、油气回收软管与两端接头，保证可靠的电气连接。</w:t>
      </w:r>
    </w:p>
    <w:p w14:paraId="6EE47C02">
      <w:pPr>
        <w:rPr>
          <w:rFonts w:hint="default"/>
          <w:lang w:val="en-US" w:eastAsia="zh-CN"/>
        </w:rPr>
      </w:pPr>
      <w:r>
        <w:rPr>
          <w:rFonts w:hint="default"/>
          <w:lang w:val="en-US" w:eastAsia="zh-CN"/>
        </w:rPr>
        <w:t>（13）低压配电系统接地型式为TN-S型，PE线与中性线完全分开。在动力配电柜进线处设置</w:t>
      </w:r>
      <w:r>
        <w:rPr>
          <w:rFonts w:hint="eastAsia" w:ascii="宋体" w:hAnsi="宋体" w:eastAsia="宋体" w:cs="宋体"/>
          <w:lang w:val="en-US" w:eastAsia="zh-CN"/>
        </w:rPr>
        <w:t>Ⅰ</w:t>
      </w:r>
      <w:r>
        <w:rPr>
          <w:rFonts w:hint="default"/>
          <w:lang w:val="en-US" w:eastAsia="zh-CN"/>
        </w:rPr>
        <w:t>级电涌保护器。装置电子系统配电线路首末端与电子器件连接处装设电子器件耐压水平相适应的SPD。电源SPD的相线连接线截面积为6mm</w:t>
      </w:r>
      <w:r>
        <w:rPr>
          <w:rFonts w:hint="default"/>
          <w:vertAlign w:val="superscript"/>
          <w:lang w:val="en-US" w:eastAsia="zh-CN"/>
        </w:rPr>
        <w:t>2</w:t>
      </w:r>
      <w:r>
        <w:rPr>
          <w:rFonts w:hint="default"/>
          <w:lang w:val="en-US" w:eastAsia="zh-CN"/>
        </w:rPr>
        <w:t>，接地连接线截面积10mm</w:t>
      </w:r>
      <w:r>
        <w:rPr>
          <w:rFonts w:hint="default"/>
          <w:vertAlign w:val="superscript"/>
          <w:lang w:val="en-US" w:eastAsia="zh-CN"/>
        </w:rPr>
        <w:t>2</w:t>
      </w:r>
      <w:r>
        <w:rPr>
          <w:rFonts w:hint="default"/>
          <w:lang w:val="en-US" w:eastAsia="zh-CN"/>
        </w:rPr>
        <w:t>，电源SPD连接导线长度0.5m。</w:t>
      </w:r>
    </w:p>
    <w:p w14:paraId="3EDC8465">
      <w:pPr>
        <w:rPr>
          <w:rFonts w:hint="default"/>
          <w:lang w:val="en-US" w:eastAsia="zh-CN"/>
        </w:rPr>
      </w:pPr>
      <w:r>
        <w:rPr>
          <w:rFonts w:hint="default"/>
          <w:lang w:val="en-US" w:eastAsia="zh-CN"/>
        </w:rPr>
        <w:t>（14）进出构筑物的金属管道就近与防雷装置做等电位连接。平行敷设的管道、构架和电缆金属外皮等长金属物，其净距小于100mm时采用金属线跨接，交叉净距小于100mm时，其交叉处进行跨接。少于5根螺栓连接的法兰用金属线跨接，输送可燃液体的金属管道在其始端、末端、分支、转弯等处可靠接地。撬装站的呼吸阀等均按规范标准进行跨接处理。撬装加油站的工艺设备区，将所有工艺设备外壳、工艺管线、设备底座、金属穿线管、铠装电缆金属外套等金属构件与接地网做可靠电气连接。</w:t>
      </w:r>
    </w:p>
    <w:p w14:paraId="363CDF61">
      <w:pPr>
        <w:rPr>
          <w:rFonts w:hint="default"/>
          <w:color w:val="auto"/>
          <w:lang w:val="en-US" w:eastAsia="zh-CN"/>
        </w:rPr>
      </w:pPr>
      <w:r>
        <w:rPr>
          <w:rFonts w:hint="default"/>
          <w:lang w:val="en-US" w:eastAsia="zh-CN"/>
        </w:rPr>
        <w:t>（15）所有防雷装置元件进行热镀锌，锌层要求均匀，符合规范要求。所要求焊接的钢筋，采用双面焊接，焊接长度不小于圆钢直径的6倍，扁钢宽度</w:t>
      </w:r>
      <w:r>
        <w:rPr>
          <w:rFonts w:hint="default"/>
          <w:color w:val="auto"/>
          <w:lang w:val="en-US" w:eastAsia="zh-CN"/>
        </w:rPr>
        <w:t>的2倍；焊接后做防锈处理，刷防锈漆两道，铅油一道。</w:t>
      </w:r>
    </w:p>
    <w:p w14:paraId="13E5D4CD">
      <w:pPr>
        <w:rPr>
          <w:rFonts w:hint="default"/>
          <w:color w:val="auto"/>
          <w:lang w:val="en-US" w:eastAsia="zh-CN"/>
        </w:rPr>
      </w:pPr>
      <w:r>
        <w:rPr>
          <w:rFonts w:hint="default"/>
          <w:color w:val="auto"/>
          <w:lang w:val="en-US" w:eastAsia="zh-CN"/>
        </w:rPr>
        <w:t>（16）放散管跨接处理后就近与接地网焊接连通。</w:t>
      </w:r>
    </w:p>
    <w:p w14:paraId="28F9335D">
      <w:pPr>
        <w:rPr>
          <w:rFonts w:hint="default"/>
          <w:b/>
          <w:bCs/>
          <w:color w:val="auto"/>
          <w:lang w:val="en-US" w:eastAsia="zh-CN"/>
        </w:rPr>
      </w:pPr>
      <w:r>
        <w:rPr>
          <w:rFonts w:hint="default"/>
          <w:b/>
          <w:bCs/>
          <w:color w:val="auto"/>
          <w:lang w:val="en-US" w:eastAsia="zh-CN"/>
        </w:rPr>
        <w:t>2</w:t>
      </w:r>
      <w:r>
        <w:rPr>
          <w:rFonts w:hint="eastAsia"/>
          <w:b/>
          <w:bCs/>
          <w:color w:val="auto"/>
          <w:lang w:val="en-US" w:eastAsia="zh-CN"/>
        </w:rPr>
        <w:t xml:space="preserve">. </w:t>
      </w:r>
      <w:r>
        <w:rPr>
          <w:rFonts w:hint="default"/>
          <w:b/>
          <w:bCs/>
          <w:color w:val="auto"/>
          <w:lang w:val="en-US" w:eastAsia="zh-CN"/>
        </w:rPr>
        <w:t>防雷检测情况</w:t>
      </w:r>
    </w:p>
    <w:p w14:paraId="633F50D5">
      <w:pPr>
        <w:bidi w:val="0"/>
        <w:rPr>
          <w:rFonts w:hint="default" w:ascii="Times New Roman" w:hAnsi="Times New Roman" w:eastAsia="宋体" w:cs="Times New Roman"/>
          <w:color w:val="auto"/>
          <w:lang w:val="en-US" w:eastAsia="zh-CN"/>
        </w:rPr>
      </w:pPr>
      <w:r>
        <w:rPr>
          <w:rFonts w:hint="eastAsia"/>
          <w:b w:val="0"/>
          <w:bCs w:val="0"/>
          <w:strike w:val="0"/>
          <w:dstrike w:val="0"/>
          <w:color w:val="auto"/>
          <w:lang w:val="en-US" w:eastAsia="zh-CN"/>
        </w:rPr>
        <w:t>撬装加油</w:t>
      </w:r>
      <w:r>
        <w:rPr>
          <w:rFonts w:hint="eastAsia" w:ascii="Times New Roman" w:hAnsi="Times New Roman" w:eastAsia="宋体" w:cs="Times New Roman"/>
          <w:color w:val="auto"/>
          <w:lang w:val="en-US" w:eastAsia="zh-CN"/>
        </w:rPr>
        <w:t>防雷</w:t>
      </w:r>
      <w:r>
        <w:rPr>
          <w:rFonts w:hint="eastAsia"/>
          <w:b w:val="0"/>
          <w:bCs w:val="0"/>
          <w:strike w:val="0"/>
          <w:dstrike w:val="0"/>
          <w:color w:val="auto"/>
          <w:lang w:val="en-US" w:eastAsia="zh-CN"/>
        </w:rPr>
        <w:t>装置</w:t>
      </w:r>
      <w:r>
        <w:rPr>
          <w:rFonts w:hint="eastAsia" w:ascii="Times New Roman" w:hAnsi="Times New Roman" w:eastAsia="宋体" w:cs="Times New Roman"/>
          <w:color w:val="auto"/>
        </w:rPr>
        <w:t>经</w:t>
      </w:r>
      <w:r>
        <w:rPr>
          <w:rFonts w:hint="eastAsia" w:cs="Times New Roman"/>
          <w:color w:val="auto"/>
          <w:lang w:val="en-US" w:eastAsia="zh-CN"/>
        </w:rPr>
        <w:t>辽宁风云科技服务有限公司</w:t>
      </w:r>
      <w:r>
        <w:rPr>
          <w:rFonts w:hint="eastAsia" w:ascii="Times New Roman" w:hAnsi="Times New Roman" w:eastAsia="宋体" w:cs="Times New Roman"/>
          <w:color w:val="auto"/>
        </w:rPr>
        <w:t>检测，并出具了</w:t>
      </w:r>
      <w:r>
        <w:rPr>
          <w:rFonts w:hint="eastAsia" w:cs="Times New Roman"/>
          <w:color w:val="auto"/>
          <w:lang w:val="en-US" w:eastAsia="zh-CN"/>
        </w:rPr>
        <w:t>雷电防护装置</w:t>
      </w:r>
      <w:r>
        <w:rPr>
          <w:rFonts w:hint="eastAsia" w:ascii="Times New Roman" w:hAnsi="Times New Roman" w:eastAsia="宋体" w:cs="Times New Roman"/>
          <w:color w:val="auto"/>
        </w:rPr>
        <w:t>检测报告，</w:t>
      </w:r>
      <w:r>
        <w:rPr>
          <w:rFonts w:hint="eastAsia" w:ascii="Times New Roman" w:hAnsi="Times New Roman" w:eastAsia="宋体" w:cs="Times New Roman"/>
          <w:color w:val="auto"/>
          <w:lang w:val="en-US" w:eastAsia="zh-CN"/>
        </w:rPr>
        <w:t>报告</w:t>
      </w:r>
      <w:r>
        <w:rPr>
          <w:rFonts w:hint="eastAsia" w:ascii="Times New Roman" w:hAnsi="Times New Roman" w:eastAsia="宋体" w:cs="Times New Roman"/>
          <w:color w:val="auto"/>
        </w:rPr>
        <w:t>编号为：1062018002雷检字</w:t>
      </w:r>
      <w:r>
        <w:rPr>
          <w:rFonts w:hint="eastAsia" w:ascii="宋体" w:hAnsi="宋体" w:eastAsia="宋体" w:cs="宋体"/>
          <w:color w:val="auto"/>
        </w:rPr>
        <w:t>[</w:t>
      </w:r>
      <w:r>
        <w:rPr>
          <w:rFonts w:hint="eastAsia" w:ascii="Times New Roman" w:hAnsi="Times New Roman" w:eastAsia="宋体" w:cs="Times New Roman"/>
          <w:color w:val="auto"/>
        </w:rPr>
        <w:t>202</w:t>
      </w:r>
      <w:r>
        <w:rPr>
          <w:rFonts w:hint="eastAsia" w:ascii="Times New Roman" w:hAnsi="Times New Roman" w:eastAsia="宋体" w:cs="Times New Roman"/>
          <w:color w:val="auto"/>
          <w:lang w:val="en-US" w:eastAsia="zh-CN"/>
        </w:rPr>
        <w:t>5</w:t>
      </w:r>
      <w:r>
        <w:rPr>
          <w:rFonts w:hint="eastAsia" w:ascii="宋体" w:hAnsi="宋体" w:eastAsia="宋体" w:cs="宋体"/>
          <w:color w:val="auto"/>
          <w:lang w:val="en-US" w:eastAsia="zh-CN"/>
        </w:rPr>
        <w:t>]</w:t>
      </w:r>
      <w:r>
        <w:rPr>
          <w:rFonts w:hint="eastAsia" w:cs="Times New Roman"/>
          <w:color w:val="auto"/>
          <w:lang w:val="en-US" w:eastAsia="zh-CN"/>
        </w:rPr>
        <w:t>06764</w:t>
      </w:r>
      <w:r>
        <w:rPr>
          <w:rFonts w:hint="eastAsia" w:ascii="Times New Roman" w:hAnsi="Times New Roman" w:eastAsia="宋体" w:cs="Times New Roman"/>
          <w:color w:val="auto"/>
        </w:rPr>
        <w:t>，检验结论为合格</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有效期至202</w:t>
      </w:r>
      <w:r>
        <w:rPr>
          <w:rFonts w:hint="eastAsia" w:cs="Times New Roman"/>
          <w:color w:val="auto"/>
          <w:lang w:val="en-US" w:eastAsia="zh-CN"/>
        </w:rPr>
        <w:t>6</w:t>
      </w:r>
      <w:r>
        <w:rPr>
          <w:rFonts w:hint="eastAsia" w:ascii="Times New Roman" w:hAnsi="Times New Roman" w:eastAsia="宋体" w:cs="Times New Roman"/>
          <w:color w:val="auto"/>
          <w:lang w:val="en-US" w:eastAsia="zh-CN"/>
        </w:rPr>
        <w:t>年1</w:t>
      </w:r>
      <w:r>
        <w:rPr>
          <w:rFonts w:hint="eastAsia" w:cs="Times New Roman"/>
          <w:color w:val="auto"/>
          <w:lang w:val="en-US" w:eastAsia="zh-CN"/>
        </w:rPr>
        <w:t>1</w:t>
      </w:r>
      <w:r>
        <w:rPr>
          <w:rFonts w:hint="eastAsia" w:ascii="Times New Roman" w:hAnsi="Times New Roman" w:eastAsia="宋体" w:cs="Times New Roman"/>
          <w:color w:val="auto"/>
          <w:lang w:val="en-US" w:eastAsia="zh-CN"/>
        </w:rPr>
        <w:t>月</w:t>
      </w:r>
      <w:r>
        <w:rPr>
          <w:rFonts w:hint="eastAsia" w:cs="Times New Roman"/>
          <w:color w:val="auto"/>
          <w:lang w:val="en-US" w:eastAsia="zh-CN"/>
        </w:rPr>
        <w:t>20</w:t>
      </w:r>
      <w:r>
        <w:rPr>
          <w:rFonts w:hint="eastAsia" w:ascii="Times New Roman" w:hAnsi="Times New Roman" w:eastAsia="宋体" w:cs="Times New Roman"/>
          <w:color w:val="auto"/>
          <w:lang w:val="en-US" w:eastAsia="zh-CN"/>
        </w:rPr>
        <w:t>日</w:t>
      </w:r>
      <w:r>
        <w:rPr>
          <w:rFonts w:hint="eastAsia" w:ascii="Times New Roman" w:hAnsi="Times New Roman" w:eastAsia="宋体" w:cs="Times New Roman"/>
          <w:color w:val="auto"/>
        </w:rPr>
        <w:t>。</w:t>
      </w:r>
    </w:p>
    <w:p w14:paraId="3F10F9E9">
      <w:pPr>
        <w:pStyle w:val="4"/>
        <w:bidi w:val="0"/>
        <w:rPr>
          <w:rFonts w:hint="default"/>
          <w:lang w:val="en-US" w:eastAsia="zh-CN"/>
        </w:rPr>
      </w:pPr>
      <w:bookmarkStart w:id="37" w:name="_Toc4834"/>
      <w:r>
        <w:rPr>
          <w:rFonts w:hint="default"/>
          <w:lang w:val="en-US" w:eastAsia="zh-CN"/>
        </w:rPr>
        <w:t>2.7.</w:t>
      </w:r>
      <w:r>
        <w:rPr>
          <w:rFonts w:hint="eastAsia"/>
          <w:lang w:val="en-US" w:eastAsia="zh-CN"/>
        </w:rPr>
        <w:t>5</w:t>
      </w:r>
      <w:r>
        <w:rPr>
          <w:rFonts w:hint="default"/>
          <w:lang w:val="en-US" w:eastAsia="zh-CN"/>
        </w:rPr>
        <w:t xml:space="preserve"> 自控与仪表系统</w:t>
      </w:r>
      <w:bookmarkEnd w:id="37"/>
    </w:p>
    <w:p w14:paraId="0E8D9B87">
      <w:pPr>
        <w:rPr>
          <w:rFonts w:hint="default"/>
          <w:lang w:val="en-US" w:eastAsia="zh-CN"/>
        </w:rPr>
      </w:pPr>
      <w:r>
        <w:rPr>
          <w:rFonts w:hint="default"/>
          <w:lang w:val="en-US" w:eastAsia="zh-CN"/>
        </w:rPr>
        <w:t>1</w:t>
      </w:r>
      <w:r>
        <w:rPr>
          <w:rFonts w:hint="eastAsia"/>
          <w:lang w:val="en-US" w:eastAsia="zh-CN"/>
        </w:rPr>
        <w:t xml:space="preserve">. </w:t>
      </w:r>
      <w:r>
        <w:rPr>
          <w:rFonts w:hint="default"/>
          <w:lang w:val="en-US" w:eastAsia="zh-CN"/>
        </w:rPr>
        <w:t>视频监控系统</w:t>
      </w:r>
    </w:p>
    <w:p w14:paraId="13E111D0">
      <w:pPr>
        <w:rPr>
          <w:rFonts w:hint="default"/>
          <w:b/>
          <w:bCs/>
          <w:color w:val="0000FF"/>
          <w:lang w:val="en-US" w:eastAsia="zh-CN"/>
        </w:rPr>
      </w:pPr>
      <w:r>
        <w:rPr>
          <w:rFonts w:hint="default"/>
          <w:b w:val="0"/>
          <w:bCs w:val="0"/>
          <w:color w:val="auto"/>
          <w:lang w:val="en-US" w:eastAsia="zh-CN"/>
        </w:rPr>
        <w:t>在撬装加油装置处设置了</w:t>
      </w:r>
      <w:r>
        <w:rPr>
          <w:rFonts w:hint="eastAsia"/>
          <w:b w:val="0"/>
          <w:bCs w:val="0"/>
          <w:color w:val="auto"/>
          <w:lang w:val="en-US" w:eastAsia="zh-CN"/>
        </w:rPr>
        <w:t>3</w:t>
      </w:r>
      <w:r>
        <w:rPr>
          <w:rFonts w:hint="default"/>
          <w:b w:val="0"/>
          <w:bCs w:val="0"/>
          <w:color w:val="auto"/>
          <w:lang w:val="en-US" w:eastAsia="zh-CN"/>
        </w:rPr>
        <w:t>台高清红外摄像仪，信号引至厂区原消防控制室，通过视频监控系统对加油区、卸油区等重点部位进行监控，</w:t>
      </w:r>
      <w:r>
        <w:rPr>
          <w:rFonts w:hint="eastAsia"/>
          <w:b w:val="0"/>
          <w:bCs w:val="0"/>
          <w:color w:val="auto"/>
          <w:lang w:val="en-US" w:eastAsia="zh-CN"/>
        </w:rPr>
        <w:t>矿区有备用应急柴油发电机，可作为</w:t>
      </w:r>
      <w:r>
        <w:rPr>
          <w:rFonts w:hint="default"/>
          <w:b w:val="0"/>
          <w:bCs w:val="0"/>
          <w:color w:val="auto"/>
          <w:lang w:val="en-US" w:eastAsia="zh-CN"/>
        </w:rPr>
        <w:t>视频监控系统</w:t>
      </w:r>
      <w:r>
        <w:rPr>
          <w:rFonts w:hint="eastAsia"/>
          <w:b w:val="0"/>
          <w:bCs w:val="0"/>
          <w:color w:val="auto"/>
          <w:lang w:val="en-US" w:eastAsia="zh-CN"/>
        </w:rPr>
        <w:t>的备用电源。</w:t>
      </w:r>
    </w:p>
    <w:p w14:paraId="08353000">
      <w:pPr>
        <w:rPr>
          <w:rFonts w:hint="eastAsia"/>
          <w:lang w:val="en-US" w:eastAsia="zh-CN"/>
        </w:rPr>
      </w:pPr>
      <w:r>
        <w:rPr>
          <w:rFonts w:hint="eastAsia"/>
          <w:lang w:val="en-US" w:eastAsia="zh-CN"/>
        </w:rPr>
        <w:t>2. 仪表自动控制</w:t>
      </w:r>
    </w:p>
    <w:p w14:paraId="38E99C7C">
      <w:pPr>
        <w:rPr>
          <w:rFonts w:hint="default"/>
          <w:lang w:val="en-US" w:eastAsia="zh-CN"/>
        </w:rPr>
      </w:pPr>
      <w:r>
        <w:rPr>
          <w:rFonts w:hint="default"/>
          <w:lang w:val="en-US" w:eastAsia="zh-CN"/>
        </w:rPr>
        <w:t>装置自带控制柜，加油装置操作人员在</w:t>
      </w:r>
      <w:r>
        <w:rPr>
          <w:rFonts w:hint="eastAsia"/>
          <w:lang w:val="en-US" w:eastAsia="zh-CN"/>
        </w:rPr>
        <w:t>消防控制室</w:t>
      </w:r>
      <w:r>
        <w:rPr>
          <w:rFonts w:hint="default"/>
          <w:lang w:val="en-US" w:eastAsia="zh-CN"/>
        </w:rPr>
        <w:t>内值班，需要加油时可随时到达加油装置处操作。</w:t>
      </w:r>
    </w:p>
    <w:p w14:paraId="2198F93A">
      <w:pPr>
        <w:rPr>
          <w:rFonts w:hint="default"/>
          <w:lang w:val="en-US" w:eastAsia="zh-CN"/>
        </w:rPr>
      </w:pPr>
      <w:r>
        <w:rPr>
          <w:rFonts w:hint="default"/>
          <w:lang w:val="en-US" w:eastAsia="zh-CN"/>
        </w:rPr>
        <w:t>该加油站工艺系统为常温常压，在油罐上设置了高液位报警器、液位仪、自动灭火装置、紧急泄压装置、内部燃烧抑制装置、渗漏检测传感器、防爆阻火通气罩、阻火呼吸阀等安全监控防护措施。</w:t>
      </w:r>
    </w:p>
    <w:p w14:paraId="41445136">
      <w:pPr>
        <w:rPr>
          <w:rFonts w:hint="default"/>
          <w:lang w:val="en-US" w:eastAsia="zh-CN"/>
        </w:rPr>
      </w:pPr>
      <w:r>
        <w:rPr>
          <w:rFonts w:hint="default"/>
          <w:lang w:val="en-US" w:eastAsia="zh-CN"/>
        </w:rPr>
        <w:t>油罐采取卸油时的防满溢措施。当油料达到油罐容量90%时，能触动高液位报警装置；油料达到油罐容量95%时，油罐内的卸油防溢阀能自动切断油料进罐。液位监测仪设置在加油撬装设备加油区，渗漏检测仪设置在油罐上。</w:t>
      </w:r>
    </w:p>
    <w:p w14:paraId="6B809448">
      <w:pPr>
        <w:rPr>
          <w:rFonts w:hint="default"/>
          <w:lang w:val="en-US" w:eastAsia="zh-CN"/>
        </w:rPr>
      </w:pPr>
      <w:r>
        <w:rPr>
          <w:rFonts w:hint="default"/>
          <w:lang w:val="en-US" w:eastAsia="zh-CN"/>
        </w:rPr>
        <w:t>加油机自带紧急切断按钮。一处设置于加油机上明装，另一处设置自用撬装加油装置控制箱挂墙明装，事故紧急切断系统带失效保护功能，只能手动复位。</w:t>
      </w:r>
    </w:p>
    <w:p w14:paraId="0D866348">
      <w:pPr>
        <w:rPr>
          <w:rFonts w:hint="default"/>
          <w:lang w:val="en-US" w:eastAsia="zh-CN"/>
        </w:rPr>
      </w:pPr>
      <w:r>
        <w:rPr>
          <w:rFonts w:hint="default"/>
          <w:lang w:val="en-US" w:eastAsia="zh-CN"/>
        </w:rPr>
        <w:t>加油机加油软管上设</w:t>
      </w:r>
      <w:r>
        <w:rPr>
          <w:rFonts w:hint="eastAsia"/>
          <w:lang w:val="en-US" w:eastAsia="zh-CN"/>
        </w:rPr>
        <w:t>有</w:t>
      </w:r>
      <w:r>
        <w:rPr>
          <w:rFonts w:hint="default"/>
          <w:lang w:val="en-US" w:eastAsia="zh-CN"/>
        </w:rPr>
        <w:t>拉断阀，防止加油软管被拉断或加油机被拉倒出现油品泄漏。加油机底部的供油管道上</w:t>
      </w:r>
      <w:r>
        <w:rPr>
          <w:rFonts w:hint="eastAsia"/>
          <w:lang w:val="en-US" w:eastAsia="zh-CN"/>
        </w:rPr>
        <w:t>设有</w:t>
      </w:r>
      <w:r>
        <w:rPr>
          <w:rFonts w:hint="default"/>
          <w:lang w:val="en-US" w:eastAsia="zh-CN"/>
        </w:rPr>
        <w:t>剪切阀，当加油机被撞或起火时，剪切阀能自动关闭。</w:t>
      </w:r>
    </w:p>
    <w:p w14:paraId="7A5C5D91">
      <w:pPr>
        <w:pStyle w:val="3"/>
        <w:bidi w:val="0"/>
        <w:rPr>
          <w:rFonts w:hint="default"/>
          <w:lang w:val="en-US" w:eastAsia="zh-CN"/>
        </w:rPr>
      </w:pPr>
      <w:bookmarkStart w:id="38" w:name="_Toc14395"/>
      <w:r>
        <w:rPr>
          <w:rFonts w:hint="default"/>
          <w:lang w:val="en-US" w:eastAsia="zh-CN"/>
        </w:rPr>
        <w:t>2.8 安全管理</w:t>
      </w:r>
      <w:bookmarkEnd w:id="38"/>
    </w:p>
    <w:p w14:paraId="70DD9062">
      <w:pPr>
        <w:rPr>
          <w:rFonts w:hint="default"/>
          <w:lang w:val="en-US" w:eastAsia="zh-CN"/>
        </w:rPr>
      </w:pPr>
      <w:r>
        <w:rPr>
          <w:rFonts w:hint="default"/>
          <w:lang w:val="en-US" w:eastAsia="zh-CN"/>
        </w:rPr>
        <w:t>1</w:t>
      </w:r>
      <w:r>
        <w:rPr>
          <w:rFonts w:hint="eastAsia"/>
          <w:lang w:val="en-US" w:eastAsia="zh-CN"/>
        </w:rPr>
        <w:t xml:space="preserve">. </w:t>
      </w:r>
      <w:r>
        <w:rPr>
          <w:rFonts w:hint="default"/>
          <w:lang w:val="en-US" w:eastAsia="zh-CN"/>
        </w:rPr>
        <w:t>安全设施</w:t>
      </w:r>
    </w:p>
    <w:p w14:paraId="2DCA3D39">
      <w:pPr>
        <w:rPr>
          <w:rFonts w:hint="default"/>
          <w:lang w:val="en-US" w:eastAsia="zh-CN"/>
        </w:rPr>
      </w:pPr>
      <w:r>
        <w:rPr>
          <w:rFonts w:hint="default"/>
          <w:lang w:val="en-US" w:eastAsia="zh-CN"/>
        </w:rPr>
        <w:t>加油撬装设备底部四周设不燃材料</w:t>
      </w:r>
      <w:r>
        <w:rPr>
          <w:rFonts w:hint="default"/>
          <w:color w:val="auto"/>
          <w:lang w:val="en-US" w:eastAsia="zh-CN"/>
        </w:rPr>
        <w:t>围堰</w:t>
      </w:r>
      <w:r>
        <w:rPr>
          <w:rFonts w:hint="eastAsia"/>
          <w:color w:val="auto"/>
        </w:rPr>
        <w:t>，容积</w:t>
      </w:r>
      <w:r>
        <w:rPr>
          <w:rFonts w:hint="eastAsia"/>
          <w:color w:val="auto"/>
          <w:lang w:val="en-US" w:eastAsia="zh-CN"/>
        </w:rPr>
        <w:t>19.75</w:t>
      </w:r>
      <w:r>
        <w:rPr>
          <w:rFonts w:hint="eastAsia"/>
          <w:color w:val="auto"/>
        </w:rPr>
        <w:t>m</w:t>
      </w:r>
      <w:r>
        <w:rPr>
          <w:rFonts w:hint="eastAsia"/>
          <w:color w:val="auto"/>
          <w:vertAlign w:val="superscript"/>
        </w:rPr>
        <w:t>3</w:t>
      </w:r>
      <w:r>
        <w:rPr>
          <w:rFonts w:hint="default"/>
          <w:color w:val="auto"/>
          <w:lang w:val="en-US" w:eastAsia="zh-CN"/>
        </w:rPr>
        <w:t>。</w:t>
      </w:r>
    </w:p>
    <w:p w14:paraId="16B0D78C">
      <w:pPr>
        <w:rPr>
          <w:rFonts w:hint="default"/>
          <w:lang w:val="en-US" w:eastAsia="zh-CN"/>
        </w:rPr>
      </w:pPr>
      <w:r>
        <w:rPr>
          <w:rFonts w:hint="default"/>
          <w:lang w:val="en-US" w:eastAsia="zh-CN"/>
        </w:rPr>
        <w:t>加油机自带紧急切断按钮。</w:t>
      </w:r>
    </w:p>
    <w:p w14:paraId="564CEE8B">
      <w:pPr>
        <w:rPr>
          <w:rFonts w:hint="default"/>
          <w:lang w:val="en-US" w:eastAsia="zh-CN"/>
        </w:rPr>
      </w:pPr>
      <w:r>
        <w:rPr>
          <w:rFonts w:hint="default"/>
          <w:lang w:val="en-US" w:eastAsia="zh-CN"/>
        </w:rPr>
        <w:t>设置2根通气管集中布置并向上敷设，油罐通气管安装有阻火器与呼吸阀。通气管管口高出地面4m</w:t>
      </w:r>
      <w:r>
        <w:rPr>
          <w:rFonts w:hint="eastAsia"/>
          <w:lang w:val="en-US" w:eastAsia="zh-CN"/>
        </w:rPr>
        <w:t>以上</w:t>
      </w:r>
      <w:r>
        <w:rPr>
          <w:rFonts w:hint="default"/>
          <w:lang w:val="en-US" w:eastAsia="zh-CN"/>
        </w:rPr>
        <w:t>。</w:t>
      </w:r>
    </w:p>
    <w:p w14:paraId="201C723A">
      <w:pPr>
        <w:rPr>
          <w:rFonts w:hint="default"/>
          <w:lang w:val="en-US" w:eastAsia="zh-CN"/>
        </w:rPr>
      </w:pPr>
      <w:r>
        <w:rPr>
          <w:rFonts w:hint="default"/>
          <w:lang w:val="en-US" w:eastAsia="zh-CN"/>
        </w:rPr>
        <w:t>卸油管上安装了卸油防溢阀，卸油时油料达到油罐容量90％时，能触动高液位报警装置，油料达到油罐容量95％时，能自动停止油料继续进罐。</w:t>
      </w:r>
    </w:p>
    <w:p w14:paraId="5F55A4DD">
      <w:pPr>
        <w:rPr>
          <w:rFonts w:hint="default"/>
          <w:lang w:val="en-US" w:eastAsia="zh-CN"/>
        </w:rPr>
      </w:pPr>
      <w:r>
        <w:rPr>
          <w:rFonts w:hint="default"/>
          <w:lang w:val="en-US" w:eastAsia="zh-CN"/>
        </w:rPr>
        <w:t>油储罐进油口、出油管、量油孔、通气管直接单独通往油罐。油罐设有防溢油阀、高液位报警仪，油罐夹层内设渗漏检测传感器，渗漏检测信息在防爆液位仪上集中显示。</w:t>
      </w:r>
    </w:p>
    <w:p w14:paraId="7E5BE4A3">
      <w:pPr>
        <w:rPr>
          <w:rFonts w:hint="default"/>
          <w:lang w:val="en-US" w:eastAsia="zh-CN"/>
        </w:rPr>
      </w:pPr>
      <w:r>
        <w:rPr>
          <w:rFonts w:hint="default"/>
          <w:lang w:val="en-US" w:eastAsia="zh-CN"/>
        </w:rPr>
        <w:t>卸油口处设置有用于连接车辆的静电报警仪。储罐及管道进行了静电接地，法兰连接处用铜片进行了跨接。卸油管采用内设金属丝的软管，可以和车辆的油罐和储油罐进行可靠的静电连接。加油站内爆炸危险区域以外的照明灯具选用非防爆型。</w:t>
      </w:r>
    </w:p>
    <w:p w14:paraId="19DB2F53">
      <w:pPr>
        <w:rPr>
          <w:rFonts w:hint="default"/>
          <w:lang w:val="en-US" w:eastAsia="zh-CN"/>
        </w:rPr>
      </w:pPr>
      <w:r>
        <w:rPr>
          <w:rFonts w:hint="default"/>
          <w:lang w:val="en-US" w:eastAsia="zh-CN"/>
        </w:rPr>
        <w:t>加油机采用防爆型自动计量加油机。加油机进液管道上设置自动关闭保护阀。加油机上方设置由熔断阀控制的干粉灭火器或泡沫灭火器。</w:t>
      </w:r>
    </w:p>
    <w:p w14:paraId="40901018">
      <w:pPr>
        <w:rPr>
          <w:rFonts w:hint="default"/>
          <w:lang w:val="en-US" w:eastAsia="zh-CN"/>
        </w:rPr>
      </w:pPr>
      <w:r>
        <w:rPr>
          <w:rFonts w:hint="eastAsia"/>
          <w:lang w:val="en-US" w:eastAsia="zh-CN"/>
        </w:rPr>
        <w:t>本项目</w:t>
      </w:r>
      <w:r>
        <w:rPr>
          <w:rFonts w:hint="default"/>
          <w:lang w:val="en-US" w:eastAsia="zh-CN"/>
        </w:rPr>
        <w:t>加油机设置了事故紧急切断按钮，事故状态下能手动停加油机。</w:t>
      </w:r>
    </w:p>
    <w:p w14:paraId="0F00454F">
      <w:pPr>
        <w:rPr>
          <w:rFonts w:hint="default"/>
          <w:lang w:val="en-US" w:eastAsia="zh-CN"/>
        </w:rPr>
      </w:pPr>
      <w:r>
        <w:rPr>
          <w:rFonts w:hint="default"/>
          <w:lang w:val="en-US" w:eastAsia="zh-CN"/>
        </w:rPr>
        <w:t>在加油撬设备</w:t>
      </w:r>
      <w:r>
        <w:rPr>
          <w:rFonts w:hint="eastAsia" w:ascii="宋体" w:hAnsi="宋体" w:eastAsia="宋体" w:cs="宋体"/>
          <w:lang w:val="en-US" w:eastAsia="zh-CN"/>
        </w:rPr>
        <w:t>设置“禁止烟火”等标</w:t>
      </w:r>
      <w:r>
        <w:rPr>
          <w:rFonts w:hint="default"/>
          <w:lang w:val="en-US" w:eastAsia="zh-CN"/>
        </w:rPr>
        <w:t>志。</w:t>
      </w:r>
    </w:p>
    <w:p w14:paraId="5CCF94EF">
      <w:pPr>
        <w:rPr>
          <w:rFonts w:hint="default"/>
          <w:b w:val="0"/>
          <w:bCs w:val="0"/>
          <w:color w:val="auto"/>
          <w:lang w:val="en-US" w:eastAsia="zh-CN"/>
        </w:rPr>
      </w:pPr>
      <w:r>
        <w:rPr>
          <w:rFonts w:hint="default"/>
          <w:b w:val="0"/>
          <w:bCs w:val="0"/>
          <w:color w:val="auto"/>
          <w:lang w:val="en-US" w:eastAsia="zh-CN"/>
        </w:rPr>
        <w:t>在加油撬设备设置共设置1个可燃气体探测器。</w:t>
      </w:r>
    </w:p>
    <w:p w14:paraId="337424AA">
      <w:pPr>
        <w:rPr>
          <w:rFonts w:hint="default"/>
          <w:lang w:val="en-US" w:eastAsia="zh-CN"/>
        </w:rPr>
      </w:pPr>
      <w:r>
        <w:rPr>
          <w:rFonts w:hint="eastAsia"/>
          <w:lang w:val="en-US" w:eastAsia="zh-CN"/>
        </w:rPr>
        <w:t>本项目</w:t>
      </w:r>
      <w:r>
        <w:rPr>
          <w:rFonts w:hint="default"/>
          <w:lang w:val="en-US" w:eastAsia="zh-CN"/>
        </w:rPr>
        <w:t>劳动保护用品主要包括防静电手套、防静电工作服、工作鞋等。</w:t>
      </w:r>
    </w:p>
    <w:p w14:paraId="1584977D">
      <w:pPr>
        <w:rPr>
          <w:rFonts w:hint="default"/>
          <w:lang w:val="en-US" w:eastAsia="zh-CN"/>
        </w:rPr>
      </w:pPr>
      <w:r>
        <w:rPr>
          <w:rFonts w:hint="default"/>
          <w:lang w:val="en-US" w:eastAsia="zh-CN"/>
        </w:rPr>
        <w:t>2</w:t>
      </w:r>
      <w:r>
        <w:rPr>
          <w:rFonts w:hint="eastAsia"/>
          <w:lang w:val="en-US" w:eastAsia="zh-CN"/>
        </w:rPr>
        <w:t xml:space="preserve">. </w:t>
      </w:r>
      <w:r>
        <w:rPr>
          <w:rFonts w:hint="default"/>
          <w:lang w:val="en-US" w:eastAsia="zh-CN"/>
        </w:rPr>
        <w:t>安全管理机构及人员取证</w:t>
      </w:r>
    </w:p>
    <w:p w14:paraId="6B699E37">
      <w:pPr>
        <w:rPr>
          <w:rFonts w:hint="default"/>
          <w:lang w:val="en-US" w:eastAsia="zh-CN"/>
        </w:rPr>
      </w:pPr>
      <w:r>
        <w:rPr>
          <w:rFonts w:hint="eastAsia"/>
          <w:lang w:val="en-US" w:eastAsia="zh-CN"/>
        </w:rPr>
        <w:t>本项目</w:t>
      </w:r>
      <w:r>
        <w:rPr>
          <w:rFonts w:hint="default"/>
          <w:lang w:val="en-US" w:eastAsia="zh-CN"/>
        </w:rPr>
        <w:t>设人员</w:t>
      </w:r>
      <w:r>
        <w:rPr>
          <w:rFonts w:hint="eastAsia"/>
          <w:lang w:val="en-US" w:eastAsia="zh-CN"/>
        </w:rPr>
        <w:t>3</w:t>
      </w:r>
      <w:r>
        <w:rPr>
          <w:rFonts w:hint="default"/>
          <w:lang w:val="en-US" w:eastAsia="zh-CN"/>
        </w:rPr>
        <w:t>人，其中主要负责人1人，专职安全管理人员</w:t>
      </w:r>
      <w:r>
        <w:rPr>
          <w:rFonts w:hint="eastAsia"/>
          <w:lang w:val="en-US" w:eastAsia="zh-CN"/>
        </w:rPr>
        <w:t>2</w:t>
      </w:r>
      <w:r>
        <w:rPr>
          <w:rFonts w:hint="default"/>
          <w:lang w:val="en-US" w:eastAsia="zh-CN"/>
        </w:rPr>
        <w:t>人，经营单位主要负责人</w:t>
      </w:r>
      <w:r>
        <w:rPr>
          <w:rFonts w:hint="eastAsia"/>
          <w:lang w:val="en-US" w:eastAsia="zh-CN"/>
        </w:rPr>
        <w:t>邓志平</w:t>
      </w:r>
      <w:r>
        <w:rPr>
          <w:rFonts w:hint="default"/>
          <w:lang w:val="en-US" w:eastAsia="zh-CN"/>
        </w:rPr>
        <w:t>、安</w:t>
      </w:r>
      <w:r>
        <w:rPr>
          <w:rFonts w:hint="default"/>
          <w:color w:val="auto"/>
          <w:lang w:val="en-US" w:eastAsia="zh-CN"/>
        </w:rPr>
        <w:t>全生产管理人员</w:t>
      </w:r>
      <w:r>
        <w:rPr>
          <w:rFonts w:hint="eastAsia"/>
          <w:color w:val="auto"/>
          <w:lang w:val="en-US" w:eastAsia="zh-CN"/>
        </w:rPr>
        <w:t>况金明、雷先林均</w:t>
      </w:r>
      <w:r>
        <w:rPr>
          <w:rFonts w:hint="default"/>
          <w:color w:val="auto"/>
          <w:lang w:val="en-US" w:eastAsia="zh-CN"/>
        </w:rPr>
        <w:t>已按有关部门规定参加安全生产培训、考核，并持证上岗。</w:t>
      </w:r>
    </w:p>
    <w:p w14:paraId="0ECE1E60">
      <w:pPr>
        <w:ind w:left="0" w:leftChars="0" w:firstLine="0" w:firstLineChars="0"/>
        <w:jc w:val="center"/>
        <w:rPr>
          <w:rFonts w:hint="default"/>
          <w:lang w:val="en-US" w:eastAsia="zh-CN"/>
        </w:rPr>
      </w:pPr>
      <w:r>
        <w:rPr>
          <w:rFonts w:hint="default"/>
          <w:lang w:val="en-US" w:eastAsia="zh-CN"/>
        </w:rPr>
        <w:t>表2.8-1</w:t>
      </w:r>
      <w:r>
        <w:rPr>
          <w:rFonts w:hint="eastAsia"/>
          <w:lang w:val="en-US" w:eastAsia="zh-CN"/>
        </w:rPr>
        <w:t xml:space="preserve"> </w:t>
      </w:r>
      <w:r>
        <w:rPr>
          <w:rFonts w:hint="default"/>
          <w:lang w:val="en-US" w:eastAsia="zh-CN"/>
        </w:rPr>
        <w:t>主要负责人和专职安全管理人员一览表</w:t>
      </w:r>
    </w:p>
    <w:tbl>
      <w:tblPr>
        <w:tblStyle w:val="20"/>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28"/>
        <w:gridCol w:w="1196"/>
        <w:gridCol w:w="2890"/>
        <w:gridCol w:w="1785"/>
        <w:gridCol w:w="2685"/>
      </w:tblGrid>
      <w:tr w14:paraId="7F00C4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392" w:type="pct"/>
            <w:noWrap w:val="0"/>
            <w:vAlign w:val="center"/>
          </w:tcPr>
          <w:p w14:paraId="543E781B">
            <w:pPr>
              <w:widowControl/>
              <w:spacing w:line="240" w:lineRule="auto"/>
              <w:ind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序号</w:t>
            </w:r>
          </w:p>
        </w:tc>
        <w:tc>
          <w:tcPr>
            <w:tcW w:w="644" w:type="pct"/>
            <w:noWrap w:val="0"/>
            <w:vAlign w:val="center"/>
          </w:tcPr>
          <w:p w14:paraId="1402A706">
            <w:pPr>
              <w:widowControl/>
              <w:spacing w:line="240" w:lineRule="auto"/>
              <w:ind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姓名</w:t>
            </w:r>
          </w:p>
        </w:tc>
        <w:tc>
          <w:tcPr>
            <w:tcW w:w="1556" w:type="pct"/>
            <w:noWrap w:val="0"/>
            <w:vAlign w:val="center"/>
          </w:tcPr>
          <w:p w14:paraId="79E060F8">
            <w:pPr>
              <w:widowControl/>
              <w:spacing w:line="240" w:lineRule="auto"/>
              <w:ind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证书编号</w:t>
            </w:r>
          </w:p>
        </w:tc>
        <w:tc>
          <w:tcPr>
            <w:tcW w:w="961" w:type="pct"/>
            <w:noWrap w:val="0"/>
            <w:vAlign w:val="center"/>
          </w:tcPr>
          <w:p w14:paraId="43D84467">
            <w:pPr>
              <w:widowControl/>
              <w:spacing w:line="240" w:lineRule="auto"/>
              <w:ind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有效期至</w:t>
            </w:r>
          </w:p>
        </w:tc>
        <w:tc>
          <w:tcPr>
            <w:tcW w:w="1445" w:type="pct"/>
            <w:noWrap w:val="0"/>
            <w:vAlign w:val="center"/>
          </w:tcPr>
          <w:p w14:paraId="1B9AF688">
            <w:pPr>
              <w:widowControl/>
              <w:spacing w:line="240" w:lineRule="auto"/>
              <w:ind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发证机关</w:t>
            </w:r>
          </w:p>
        </w:tc>
      </w:tr>
      <w:tr w14:paraId="1F8695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392" w:type="pct"/>
            <w:noWrap w:val="0"/>
            <w:vAlign w:val="center"/>
          </w:tcPr>
          <w:p w14:paraId="1711EF75">
            <w:pPr>
              <w:pStyle w:val="46"/>
              <w:widowControl/>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w:t>
            </w:r>
          </w:p>
        </w:tc>
        <w:tc>
          <w:tcPr>
            <w:tcW w:w="644" w:type="pct"/>
            <w:noWrap w:val="0"/>
            <w:vAlign w:val="center"/>
          </w:tcPr>
          <w:p w14:paraId="18D97434">
            <w:pPr>
              <w:pStyle w:val="47"/>
              <w:spacing w:before="0" w:beforeLines="0"/>
              <w:rPr>
                <w:rFonts w:hint="default" w:ascii="Times New Roman" w:hAnsi="Times New Roman" w:eastAsia="宋体" w:cs="Times New Roman"/>
                <w:b w:val="0"/>
                <w:bCs/>
                <w:color w:val="auto"/>
                <w:kern w:val="0"/>
                <w:sz w:val="21"/>
                <w:szCs w:val="21"/>
                <w:lang w:val="en-US" w:eastAsia="zh-CN"/>
              </w:rPr>
            </w:pPr>
            <w:r>
              <w:rPr>
                <w:rFonts w:hint="eastAsia" w:ascii="Times New Roman" w:hAnsi="Times New Roman" w:eastAsia="宋体" w:cs="Times New Roman"/>
                <w:b w:val="0"/>
                <w:bCs/>
                <w:color w:val="auto"/>
                <w:kern w:val="0"/>
                <w:sz w:val="21"/>
                <w:szCs w:val="21"/>
                <w:lang w:val="en-US" w:eastAsia="zh-CN"/>
              </w:rPr>
              <w:t>邓志平</w:t>
            </w:r>
          </w:p>
        </w:tc>
        <w:tc>
          <w:tcPr>
            <w:tcW w:w="1556" w:type="pct"/>
            <w:noWrap w:val="0"/>
            <w:vAlign w:val="center"/>
          </w:tcPr>
          <w:p w14:paraId="3466C397">
            <w:pPr>
              <w:pStyle w:val="47"/>
              <w:spacing w:before="0" w:beforeLines="0"/>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rPr>
              <w:t>360721198311156837</w:t>
            </w:r>
          </w:p>
        </w:tc>
        <w:tc>
          <w:tcPr>
            <w:tcW w:w="961" w:type="pct"/>
            <w:noWrap w:val="0"/>
            <w:vAlign w:val="center"/>
          </w:tcPr>
          <w:p w14:paraId="164A9933">
            <w:pPr>
              <w:widowControl/>
              <w:spacing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rPr>
              <w:t>202</w:t>
            </w:r>
            <w:r>
              <w:rPr>
                <w:rFonts w:hint="default" w:ascii="Times New Roman" w:hAnsi="Times New Roman" w:eastAsia="宋体" w:cs="Times New Roman"/>
                <w:color w:val="auto"/>
                <w:kern w:val="0"/>
                <w:sz w:val="21"/>
                <w:szCs w:val="21"/>
                <w:lang w:val="en-US" w:eastAsia="zh-CN"/>
              </w:rPr>
              <w:t>7</w:t>
            </w:r>
            <w:r>
              <w:rPr>
                <w:rFonts w:hint="default" w:ascii="Times New Roman" w:hAnsi="Times New Roman" w:eastAsia="宋体" w:cs="Times New Roman"/>
                <w:color w:val="auto"/>
                <w:kern w:val="0"/>
                <w:sz w:val="21"/>
                <w:szCs w:val="21"/>
              </w:rPr>
              <w:t>-</w:t>
            </w:r>
            <w:r>
              <w:rPr>
                <w:rFonts w:hint="default" w:ascii="Times New Roman" w:hAnsi="Times New Roman" w:eastAsia="宋体" w:cs="Times New Roman"/>
                <w:color w:val="auto"/>
                <w:kern w:val="0"/>
                <w:sz w:val="21"/>
                <w:szCs w:val="21"/>
                <w:lang w:val="en-US" w:eastAsia="zh-CN"/>
              </w:rPr>
              <w:t>0</w:t>
            </w:r>
            <w:r>
              <w:rPr>
                <w:rFonts w:hint="eastAsia" w:ascii="Times New Roman" w:hAnsi="Times New Roman" w:eastAsia="宋体" w:cs="Times New Roman"/>
                <w:color w:val="auto"/>
                <w:kern w:val="0"/>
                <w:sz w:val="21"/>
                <w:szCs w:val="21"/>
                <w:lang w:val="en-US" w:eastAsia="zh-CN"/>
              </w:rPr>
              <w:t>6</w:t>
            </w:r>
            <w:r>
              <w:rPr>
                <w:rFonts w:hint="default" w:ascii="Times New Roman" w:hAnsi="Times New Roman" w:eastAsia="宋体" w:cs="Times New Roman"/>
                <w:color w:val="auto"/>
                <w:kern w:val="0"/>
                <w:sz w:val="21"/>
                <w:szCs w:val="21"/>
              </w:rPr>
              <w:t>-</w:t>
            </w:r>
            <w:r>
              <w:rPr>
                <w:rFonts w:hint="default" w:ascii="Times New Roman" w:hAnsi="Times New Roman" w:eastAsia="宋体" w:cs="Times New Roman"/>
                <w:color w:val="auto"/>
                <w:kern w:val="0"/>
                <w:sz w:val="21"/>
                <w:szCs w:val="21"/>
                <w:lang w:val="en-US" w:eastAsia="zh-CN"/>
              </w:rPr>
              <w:t>2</w:t>
            </w:r>
            <w:r>
              <w:rPr>
                <w:rFonts w:hint="eastAsia" w:ascii="Times New Roman" w:hAnsi="Times New Roman" w:eastAsia="宋体" w:cs="Times New Roman"/>
                <w:color w:val="auto"/>
                <w:kern w:val="0"/>
                <w:sz w:val="21"/>
                <w:szCs w:val="21"/>
                <w:lang w:val="en-US" w:eastAsia="zh-CN"/>
              </w:rPr>
              <w:t>6</w:t>
            </w:r>
          </w:p>
        </w:tc>
        <w:tc>
          <w:tcPr>
            <w:tcW w:w="1445" w:type="pct"/>
            <w:noWrap w:val="0"/>
            <w:vAlign w:val="center"/>
          </w:tcPr>
          <w:p w14:paraId="46178F70">
            <w:pPr>
              <w:widowControl/>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rPr>
              <w:t>赣州市行政审批局</w:t>
            </w:r>
          </w:p>
        </w:tc>
      </w:tr>
      <w:tr w14:paraId="253F70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392" w:type="pct"/>
            <w:noWrap w:val="0"/>
            <w:vAlign w:val="center"/>
          </w:tcPr>
          <w:p w14:paraId="7F5DFD24">
            <w:pPr>
              <w:pStyle w:val="46"/>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2</w:t>
            </w:r>
          </w:p>
        </w:tc>
        <w:tc>
          <w:tcPr>
            <w:tcW w:w="644" w:type="pct"/>
            <w:noWrap w:val="0"/>
            <w:vAlign w:val="center"/>
          </w:tcPr>
          <w:p w14:paraId="0E6B2400">
            <w:pPr>
              <w:pStyle w:val="47"/>
              <w:spacing w:before="0" w:beforeLines="0"/>
              <w:rPr>
                <w:rFonts w:hint="default" w:ascii="Times New Roman" w:hAnsi="Times New Roman" w:eastAsia="宋体" w:cs="Times New Roman"/>
                <w:b w:val="0"/>
                <w:bCs/>
                <w:color w:val="auto"/>
                <w:kern w:val="0"/>
                <w:sz w:val="21"/>
                <w:szCs w:val="21"/>
                <w:highlight w:val="none"/>
                <w:lang w:val="en-US" w:eastAsia="zh-CN"/>
              </w:rPr>
            </w:pPr>
            <w:r>
              <w:rPr>
                <w:rFonts w:hint="eastAsia" w:ascii="Times New Roman" w:hAnsi="Times New Roman" w:eastAsia="宋体" w:cs="Times New Roman"/>
                <w:b w:val="0"/>
                <w:bCs/>
                <w:color w:val="auto"/>
                <w:kern w:val="0"/>
                <w:sz w:val="21"/>
                <w:szCs w:val="21"/>
                <w:highlight w:val="none"/>
                <w:lang w:val="en-US" w:eastAsia="zh-CN"/>
              </w:rPr>
              <w:t>况金明</w:t>
            </w:r>
          </w:p>
        </w:tc>
        <w:tc>
          <w:tcPr>
            <w:tcW w:w="1556" w:type="pct"/>
            <w:noWrap w:val="0"/>
            <w:vAlign w:val="center"/>
          </w:tcPr>
          <w:p w14:paraId="3B9BDA36">
            <w:pPr>
              <w:pStyle w:val="47"/>
              <w:spacing w:before="0" w:beforeLines="0"/>
              <w:rPr>
                <w:rFonts w:hint="default" w:ascii="Times New Roman" w:hAnsi="Times New Roman" w:eastAsia="宋体" w:cs="Times New Roman"/>
                <w:b w:val="0"/>
                <w:bCs/>
                <w:color w:val="auto"/>
                <w:kern w:val="0"/>
                <w:sz w:val="21"/>
                <w:szCs w:val="21"/>
                <w:highlight w:val="none"/>
                <w:lang w:val="en-US" w:eastAsia="zh-CN"/>
              </w:rPr>
            </w:pPr>
            <w:r>
              <w:rPr>
                <w:rFonts w:hint="default" w:ascii="Times New Roman" w:hAnsi="Times New Roman" w:eastAsia="宋体" w:cs="Times New Roman"/>
                <w:b w:val="0"/>
                <w:bCs/>
                <w:color w:val="auto"/>
                <w:kern w:val="0"/>
                <w:sz w:val="21"/>
                <w:szCs w:val="21"/>
                <w:highlight w:val="none"/>
                <w:lang w:val="en-US" w:eastAsia="zh-CN"/>
              </w:rPr>
              <w:t>362228198611130814</w:t>
            </w:r>
          </w:p>
        </w:tc>
        <w:tc>
          <w:tcPr>
            <w:tcW w:w="961" w:type="pct"/>
            <w:noWrap w:val="0"/>
            <w:vAlign w:val="center"/>
          </w:tcPr>
          <w:p w14:paraId="335F1909">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rPr>
              <w:t>202</w:t>
            </w:r>
            <w:r>
              <w:rPr>
                <w:rFonts w:hint="default" w:ascii="Times New Roman" w:hAnsi="Times New Roman" w:eastAsia="宋体" w:cs="Times New Roman"/>
                <w:color w:val="auto"/>
                <w:kern w:val="0"/>
                <w:sz w:val="21"/>
                <w:szCs w:val="21"/>
                <w:lang w:val="en-US" w:eastAsia="zh-CN"/>
              </w:rPr>
              <w:t>7</w:t>
            </w:r>
            <w:r>
              <w:rPr>
                <w:rFonts w:hint="default" w:ascii="Times New Roman" w:hAnsi="Times New Roman" w:eastAsia="宋体" w:cs="Times New Roman"/>
                <w:color w:val="auto"/>
                <w:kern w:val="0"/>
                <w:sz w:val="21"/>
                <w:szCs w:val="21"/>
              </w:rPr>
              <w:t>-</w:t>
            </w:r>
            <w:r>
              <w:rPr>
                <w:rFonts w:hint="default" w:ascii="Times New Roman" w:hAnsi="Times New Roman" w:eastAsia="宋体" w:cs="Times New Roman"/>
                <w:color w:val="auto"/>
                <w:kern w:val="0"/>
                <w:sz w:val="21"/>
                <w:szCs w:val="21"/>
                <w:lang w:val="en-US" w:eastAsia="zh-CN"/>
              </w:rPr>
              <w:t>0</w:t>
            </w:r>
            <w:r>
              <w:rPr>
                <w:rFonts w:hint="eastAsia" w:ascii="Times New Roman" w:hAnsi="Times New Roman" w:eastAsia="宋体" w:cs="Times New Roman"/>
                <w:color w:val="auto"/>
                <w:kern w:val="0"/>
                <w:sz w:val="21"/>
                <w:szCs w:val="21"/>
                <w:lang w:val="en-US" w:eastAsia="zh-CN"/>
              </w:rPr>
              <w:t>6</w:t>
            </w:r>
            <w:r>
              <w:rPr>
                <w:rFonts w:hint="default" w:ascii="Times New Roman" w:hAnsi="Times New Roman" w:eastAsia="宋体" w:cs="Times New Roman"/>
                <w:color w:val="auto"/>
                <w:kern w:val="0"/>
                <w:sz w:val="21"/>
                <w:szCs w:val="21"/>
              </w:rPr>
              <w:t>-</w:t>
            </w:r>
            <w:r>
              <w:rPr>
                <w:rFonts w:hint="default" w:ascii="Times New Roman" w:hAnsi="Times New Roman" w:eastAsia="宋体" w:cs="Times New Roman"/>
                <w:color w:val="auto"/>
                <w:kern w:val="0"/>
                <w:sz w:val="21"/>
                <w:szCs w:val="21"/>
                <w:lang w:val="en-US" w:eastAsia="zh-CN"/>
              </w:rPr>
              <w:t>2</w:t>
            </w:r>
            <w:r>
              <w:rPr>
                <w:rFonts w:hint="eastAsia" w:ascii="Times New Roman" w:hAnsi="Times New Roman" w:eastAsia="宋体" w:cs="Times New Roman"/>
                <w:color w:val="auto"/>
                <w:kern w:val="0"/>
                <w:sz w:val="21"/>
                <w:szCs w:val="21"/>
                <w:lang w:val="en-US" w:eastAsia="zh-CN"/>
              </w:rPr>
              <w:t>6</w:t>
            </w:r>
          </w:p>
        </w:tc>
        <w:tc>
          <w:tcPr>
            <w:tcW w:w="1445" w:type="pct"/>
            <w:noWrap w:val="0"/>
            <w:vAlign w:val="center"/>
          </w:tcPr>
          <w:p w14:paraId="78817312">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lang w:val="en-US" w:eastAsia="zh-CN"/>
              </w:rPr>
              <w:t>赣州市行政审批局</w:t>
            </w:r>
          </w:p>
        </w:tc>
      </w:tr>
      <w:tr w14:paraId="2653A1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392" w:type="pct"/>
            <w:noWrap w:val="0"/>
            <w:vAlign w:val="center"/>
          </w:tcPr>
          <w:p w14:paraId="2914AF02">
            <w:pPr>
              <w:pStyle w:val="46"/>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3</w:t>
            </w:r>
          </w:p>
        </w:tc>
        <w:tc>
          <w:tcPr>
            <w:tcW w:w="644" w:type="pct"/>
            <w:noWrap w:val="0"/>
            <w:vAlign w:val="center"/>
          </w:tcPr>
          <w:p w14:paraId="6FCD1C68">
            <w:pPr>
              <w:pStyle w:val="47"/>
              <w:spacing w:before="0" w:beforeLines="0"/>
              <w:rPr>
                <w:rFonts w:hint="default" w:ascii="Times New Roman" w:hAnsi="Times New Roman" w:eastAsia="宋体" w:cs="Times New Roman"/>
                <w:b w:val="0"/>
                <w:bCs/>
                <w:color w:val="auto"/>
                <w:kern w:val="0"/>
                <w:sz w:val="21"/>
                <w:szCs w:val="21"/>
                <w:highlight w:val="none"/>
                <w:lang w:val="en-US" w:eastAsia="zh-CN"/>
              </w:rPr>
            </w:pPr>
            <w:r>
              <w:rPr>
                <w:rFonts w:hint="default" w:ascii="Times New Roman" w:hAnsi="Times New Roman" w:eastAsia="宋体" w:cs="Times New Roman"/>
                <w:b w:val="0"/>
                <w:bCs/>
                <w:color w:val="auto"/>
                <w:kern w:val="0"/>
                <w:sz w:val="21"/>
                <w:szCs w:val="21"/>
                <w:highlight w:val="none"/>
                <w:lang w:val="en-US" w:eastAsia="zh-CN"/>
              </w:rPr>
              <w:t>雷先林</w:t>
            </w:r>
          </w:p>
        </w:tc>
        <w:tc>
          <w:tcPr>
            <w:tcW w:w="1556" w:type="pct"/>
            <w:noWrap w:val="0"/>
            <w:vAlign w:val="center"/>
          </w:tcPr>
          <w:p w14:paraId="1A181758">
            <w:pPr>
              <w:pStyle w:val="47"/>
              <w:spacing w:before="0" w:beforeLines="0"/>
              <w:rPr>
                <w:rFonts w:hint="default" w:ascii="Times New Roman" w:hAnsi="Times New Roman" w:eastAsia="宋体" w:cs="Times New Roman"/>
                <w:b w:val="0"/>
                <w:bCs/>
                <w:color w:val="auto"/>
                <w:kern w:val="0"/>
                <w:sz w:val="21"/>
                <w:szCs w:val="21"/>
                <w:highlight w:val="none"/>
                <w:lang w:val="en-US" w:eastAsia="zh-CN"/>
              </w:rPr>
            </w:pPr>
            <w:r>
              <w:rPr>
                <w:rFonts w:hint="default" w:ascii="Times New Roman" w:hAnsi="Times New Roman" w:eastAsia="宋体" w:cs="Times New Roman"/>
                <w:b w:val="0"/>
                <w:bCs/>
                <w:color w:val="auto"/>
                <w:kern w:val="0"/>
                <w:sz w:val="21"/>
                <w:szCs w:val="21"/>
                <w:highlight w:val="none"/>
                <w:lang w:val="en-US" w:eastAsia="zh-CN"/>
              </w:rPr>
              <w:t>360732198812114714</w:t>
            </w:r>
          </w:p>
        </w:tc>
        <w:tc>
          <w:tcPr>
            <w:tcW w:w="1785" w:type="dxa"/>
            <w:noWrap w:val="0"/>
            <w:vAlign w:val="center"/>
          </w:tcPr>
          <w:p w14:paraId="2E5F492F">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rPr>
              <w:t>202</w:t>
            </w:r>
            <w:r>
              <w:rPr>
                <w:rFonts w:hint="default" w:ascii="Times New Roman" w:hAnsi="Times New Roman" w:eastAsia="宋体" w:cs="Times New Roman"/>
                <w:color w:val="auto"/>
                <w:kern w:val="0"/>
                <w:sz w:val="21"/>
                <w:szCs w:val="21"/>
                <w:lang w:val="en-US" w:eastAsia="zh-CN"/>
              </w:rPr>
              <w:t>7</w:t>
            </w:r>
            <w:r>
              <w:rPr>
                <w:rFonts w:hint="default" w:ascii="Times New Roman" w:hAnsi="Times New Roman" w:eastAsia="宋体" w:cs="Times New Roman"/>
                <w:color w:val="auto"/>
                <w:kern w:val="0"/>
                <w:sz w:val="21"/>
                <w:szCs w:val="21"/>
              </w:rPr>
              <w:t>-</w:t>
            </w:r>
            <w:r>
              <w:rPr>
                <w:rFonts w:hint="default" w:ascii="Times New Roman" w:hAnsi="Times New Roman" w:eastAsia="宋体" w:cs="Times New Roman"/>
                <w:color w:val="auto"/>
                <w:kern w:val="0"/>
                <w:sz w:val="21"/>
                <w:szCs w:val="21"/>
                <w:lang w:val="en-US" w:eastAsia="zh-CN"/>
              </w:rPr>
              <w:t>0</w:t>
            </w:r>
            <w:r>
              <w:rPr>
                <w:rFonts w:hint="eastAsia" w:ascii="Times New Roman" w:hAnsi="Times New Roman" w:eastAsia="宋体" w:cs="Times New Roman"/>
                <w:color w:val="auto"/>
                <w:kern w:val="0"/>
                <w:sz w:val="21"/>
                <w:szCs w:val="21"/>
                <w:lang w:val="en-US" w:eastAsia="zh-CN"/>
              </w:rPr>
              <w:t>6</w:t>
            </w:r>
            <w:r>
              <w:rPr>
                <w:rFonts w:hint="default" w:ascii="Times New Roman" w:hAnsi="Times New Roman" w:eastAsia="宋体" w:cs="Times New Roman"/>
                <w:color w:val="auto"/>
                <w:kern w:val="0"/>
                <w:sz w:val="21"/>
                <w:szCs w:val="21"/>
              </w:rPr>
              <w:t>-</w:t>
            </w:r>
            <w:r>
              <w:rPr>
                <w:rFonts w:hint="default" w:ascii="Times New Roman" w:hAnsi="Times New Roman" w:eastAsia="宋体" w:cs="Times New Roman"/>
                <w:color w:val="auto"/>
                <w:kern w:val="0"/>
                <w:sz w:val="21"/>
                <w:szCs w:val="21"/>
                <w:lang w:val="en-US" w:eastAsia="zh-CN"/>
              </w:rPr>
              <w:t>2</w:t>
            </w:r>
            <w:r>
              <w:rPr>
                <w:rFonts w:hint="eastAsia" w:ascii="Times New Roman" w:hAnsi="Times New Roman" w:eastAsia="宋体" w:cs="Times New Roman"/>
                <w:color w:val="auto"/>
                <w:kern w:val="0"/>
                <w:sz w:val="21"/>
                <w:szCs w:val="21"/>
                <w:lang w:val="en-US" w:eastAsia="zh-CN"/>
              </w:rPr>
              <w:t>6</w:t>
            </w:r>
          </w:p>
        </w:tc>
        <w:tc>
          <w:tcPr>
            <w:tcW w:w="2685" w:type="dxa"/>
            <w:noWrap w:val="0"/>
            <w:vAlign w:val="center"/>
          </w:tcPr>
          <w:p w14:paraId="33A1554A">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lang w:val="en-US" w:eastAsia="zh-CN"/>
              </w:rPr>
              <w:t>赣州市行政审批局</w:t>
            </w:r>
          </w:p>
        </w:tc>
      </w:tr>
    </w:tbl>
    <w:p w14:paraId="3454A6CF">
      <w:pPr>
        <w:bidi w:val="0"/>
        <w:rPr>
          <w:rFonts w:hint="default"/>
          <w:b w:val="0"/>
          <w:bCs w:val="0"/>
          <w:color w:val="auto"/>
          <w:lang w:val="en-US" w:eastAsia="zh-CN"/>
        </w:rPr>
      </w:pPr>
      <w:r>
        <w:rPr>
          <w:rFonts w:hint="default"/>
          <w:b w:val="0"/>
          <w:bCs w:val="0"/>
          <w:color w:val="auto"/>
          <w:lang w:val="en-US" w:eastAsia="zh-CN"/>
        </w:rPr>
        <w:t>江西省宜丰万国矿业有限公司建立健全了各级安全生产责任制，</w:t>
      </w:r>
      <w:r>
        <w:rPr>
          <w:rFonts w:hint="eastAsia"/>
          <w:b w:val="0"/>
          <w:bCs w:val="0"/>
          <w:color w:val="auto"/>
          <w:lang w:val="en-US" w:eastAsia="zh-CN"/>
        </w:rPr>
        <w:t>制定了安全生产管理制度、岗位安全操作规程。</w:t>
      </w:r>
    </w:p>
    <w:p w14:paraId="65696156">
      <w:pPr>
        <w:rPr>
          <w:rFonts w:hint="default"/>
          <w:lang w:val="en-US" w:eastAsia="zh-CN"/>
        </w:rPr>
      </w:pPr>
      <w:r>
        <w:rPr>
          <w:rFonts w:hint="default"/>
          <w:lang w:val="en-US" w:eastAsia="zh-CN"/>
        </w:rPr>
        <w:t>3</w:t>
      </w:r>
      <w:r>
        <w:rPr>
          <w:rFonts w:hint="eastAsia"/>
          <w:lang w:val="en-US" w:eastAsia="zh-CN"/>
        </w:rPr>
        <w:t xml:space="preserve">. </w:t>
      </w:r>
      <w:r>
        <w:rPr>
          <w:rFonts w:hint="default"/>
          <w:lang w:val="en-US" w:eastAsia="zh-CN"/>
        </w:rPr>
        <w:t>安全风险分级管控</w:t>
      </w:r>
    </w:p>
    <w:p w14:paraId="4D751EC7">
      <w:pPr>
        <w:rPr>
          <w:rFonts w:hint="default"/>
          <w:lang w:val="en-US" w:eastAsia="zh-CN"/>
        </w:rPr>
      </w:pPr>
      <w:r>
        <w:rPr>
          <w:rFonts w:hint="eastAsia"/>
          <w:b w:val="0"/>
          <w:bCs w:val="0"/>
          <w:color w:val="auto"/>
          <w:lang w:val="en-US" w:eastAsia="zh-CN"/>
        </w:rPr>
        <w:t>本</w:t>
      </w:r>
      <w:r>
        <w:rPr>
          <w:rFonts w:hint="default"/>
          <w:b w:val="0"/>
          <w:bCs w:val="0"/>
          <w:color w:val="auto"/>
          <w:lang w:val="en-US" w:eastAsia="zh-CN"/>
        </w:rPr>
        <w:t>加油站</w:t>
      </w:r>
      <w:r>
        <w:rPr>
          <w:rFonts w:hint="eastAsia"/>
          <w:b w:val="0"/>
          <w:bCs w:val="0"/>
          <w:color w:val="auto"/>
          <w:lang w:val="en-US" w:eastAsia="zh-CN"/>
        </w:rPr>
        <w:t>采用</w:t>
      </w:r>
      <w:r>
        <w:rPr>
          <w:rFonts w:hint="default"/>
          <w:b w:val="0"/>
          <w:bCs w:val="0"/>
          <w:color w:val="auto"/>
          <w:lang w:val="en-US" w:eastAsia="zh-CN"/>
        </w:rPr>
        <w:t>消防设施和安全设施等方面对站内风险进行管控，</w:t>
      </w:r>
      <w:r>
        <w:rPr>
          <w:rFonts w:hint="default" w:ascii="Times New Roman" w:hAnsi="Times New Roman" w:eastAsia="宋体" w:cs="Times New Roman"/>
          <w:b w:val="0"/>
          <w:bCs w:val="0"/>
          <w:color w:val="auto"/>
          <w:kern w:val="2"/>
          <w:sz w:val="28"/>
          <w:szCs w:val="24"/>
          <w:lang w:val="en-US" w:eastAsia="zh-CN" w:bidi="ar-SA"/>
        </w:rPr>
        <w:t>撬装加油装置自带自动灭火装置。</w:t>
      </w:r>
      <w:r>
        <w:rPr>
          <w:rFonts w:hint="eastAsia"/>
          <w:b w:val="0"/>
          <w:bCs w:val="0"/>
          <w:color w:val="auto"/>
          <w:lang w:val="en-US" w:eastAsia="zh-CN"/>
        </w:rPr>
        <w:t>东侧废弃房屋内配有一具</w:t>
      </w:r>
      <w:r>
        <w:rPr>
          <w:b w:val="0"/>
          <w:bCs w:val="0"/>
          <w:color w:val="auto"/>
        </w:rPr>
        <w:t>MFT/ABC35</w:t>
      </w:r>
      <w:r>
        <w:rPr>
          <w:rFonts w:hint="eastAsia"/>
          <w:b w:val="0"/>
          <w:bCs w:val="0"/>
          <w:color w:val="auto"/>
          <w:lang w:val="en-US" w:eastAsia="zh-CN"/>
        </w:rPr>
        <w:t>和4</w:t>
      </w:r>
      <w:r>
        <w:rPr>
          <w:b w:val="0"/>
          <w:bCs w:val="0"/>
          <w:color w:val="auto"/>
          <w:sz w:val="28"/>
        </w:rPr>
        <w:t>具</w:t>
      </w:r>
      <w:r>
        <w:rPr>
          <w:b w:val="0"/>
          <w:bCs w:val="0"/>
          <w:color w:val="auto"/>
        </w:rPr>
        <w:t>MF/ABC</w:t>
      </w:r>
      <w:r>
        <w:t>5</w:t>
      </w:r>
      <w:r>
        <w:rPr>
          <w:color w:val="auto"/>
          <w:sz w:val="28"/>
        </w:rPr>
        <w:t>灭火器</w:t>
      </w:r>
      <w:r>
        <w:rPr>
          <w:rFonts w:hint="eastAsia"/>
          <w:b w:val="0"/>
          <w:bCs w:val="0"/>
          <w:color w:val="auto"/>
          <w:sz w:val="28"/>
          <w:lang w:eastAsia="zh-CN"/>
        </w:rPr>
        <w:t>、</w:t>
      </w:r>
      <w:r>
        <w:rPr>
          <w:rFonts w:hint="default" w:ascii="Times New Roman" w:hAnsi="Times New Roman" w:eastAsia="宋体" w:cs="Times New Roman"/>
          <w:b w:val="0"/>
          <w:bCs w:val="0"/>
          <w:color w:val="auto"/>
          <w:kern w:val="2"/>
          <w:sz w:val="28"/>
          <w:szCs w:val="24"/>
          <w:lang w:val="en-US" w:eastAsia="zh-CN" w:bidi="ar-SA"/>
        </w:rPr>
        <w:t>2把消防铲、2块灭火毯、2具消防沙桶等消防设施</w:t>
      </w:r>
      <w:r>
        <w:rPr>
          <w:rFonts w:hint="eastAsia" w:ascii="Times New Roman" w:hAnsi="Times New Roman" w:eastAsia="宋体" w:cs="Times New Roman"/>
          <w:b w:val="0"/>
          <w:bCs w:val="0"/>
          <w:color w:val="auto"/>
          <w:kern w:val="2"/>
          <w:sz w:val="28"/>
          <w:szCs w:val="24"/>
          <w:lang w:val="en-US" w:eastAsia="zh-CN" w:bidi="ar-SA"/>
        </w:rPr>
        <w:t>；</w:t>
      </w:r>
      <w:r>
        <w:rPr>
          <w:rFonts w:hint="eastAsia"/>
          <w:b w:val="0"/>
          <w:bCs w:val="0"/>
          <w:color w:val="auto"/>
          <w:lang w:val="en-US" w:eastAsia="zh-CN"/>
        </w:rPr>
        <w:t>废弃房屋外配备有</w:t>
      </w:r>
      <w:r>
        <w:rPr>
          <w:rFonts w:hint="default" w:ascii="Times New Roman" w:hAnsi="Times New Roman" w:eastAsia="宋体" w:cs="Times New Roman"/>
          <w:b w:val="0"/>
          <w:bCs w:val="0"/>
          <w:color w:val="auto"/>
          <w:kern w:val="2"/>
          <w:sz w:val="28"/>
          <w:szCs w:val="24"/>
          <w:lang w:val="en-US" w:eastAsia="zh-CN" w:bidi="ar-SA"/>
        </w:rPr>
        <w:t>2m</w:t>
      </w:r>
      <w:r>
        <w:rPr>
          <w:rFonts w:hint="default" w:ascii="Times New Roman" w:hAnsi="Times New Roman" w:eastAsia="宋体" w:cs="Times New Roman"/>
          <w:b w:val="0"/>
          <w:bCs w:val="0"/>
          <w:color w:val="auto"/>
          <w:kern w:val="2"/>
          <w:sz w:val="28"/>
          <w:szCs w:val="24"/>
          <w:vertAlign w:val="superscript"/>
          <w:lang w:val="en-US" w:eastAsia="zh-CN" w:bidi="ar-SA"/>
        </w:rPr>
        <w:t>3</w:t>
      </w:r>
      <w:r>
        <w:rPr>
          <w:rFonts w:hint="default" w:ascii="Times New Roman" w:hAnsi="Times New Roman" w:eastAsia="宋体" w:cs="Times New Roman"/>
          <w:b w:val="0"/>
          <w:bCs w:val="0"/>
          <w:color w:val="auto"/>
          <w:kern w:val="2"/>
          <w:sz w:val="28"/>
          <w:szCs w:val="24"/>
          <w:lang w:val="en-US" w:eastAsia="zh-CN" w:bidi="ar-SA"/>
        </w:rPr>
        <w:t>消防沙</w:t>
      </w:r>
      <w:r>
        <w:rPr>
          <w:rFonts w:hint="eastAsia" w:ascii="Times New Roman" w:hAnsi="Times New Roman" w:eastAsia="宋体" w:cs="Times New Roman"/>
          <w:b w:val="0"/>
          <w:bCs w:val="0"/>
          <w:color w:val="auto"/>
          <w:kern w:val="2"/>
          <w:sz w:val="28"/>
          <w:szCs w:val="24"/>
          <w:lang w:val="en-US" w:eastAsia="zh-CN" w:bidi="ar-SA"/>
        </w:rPr>
        <w:t>。</w:t>
      </w:r>
      <w:r>
        <w:rPr>
          <w:rFonts w:hint="default"/>
          <w:lang w:val="en-US" w:eastAsia="zh-CN"/>
        </w:rPr>
        <w:t>站内油罐设置</w:t>
      </w:r>
      <w:r>
        <w:rPr>
          <w:rFonts w:hint="eastAsia"/>
          <w:lang w:val="en-US" w:eastAsia="zh-CN"/>
        </w:rPr>
        <w:t>了</w:t>
      </w:r>
      <w:r>
        <w:rPr>
          <w:rFonts w:hint="default"/>
          <w:lang w:val="en-US" w:eastAsia="zh-CN"/>
        </w:rPr>
        <w:t>通气管，油罐设有高液位监测报警系统，超量充装至95%时自动切断卸油，油罐卸油采用密闭卸油方式。油罐及管道进行了静电接地，法兰连接处进行跨接，卸油管采用金属丝软管，输油管线采用地沟预埋式。加油机采用防爆型自动计量加油机，同时设有卸油和加油油气回收系统，加油机上设置拉断阀。</w:t>
      </w:r>
    </w:p>
    <w:p w14:paraId="16CB673B">
      <w:pPr>
        <w:rPr>
          <w:rFonts w:hint="default"/>
          <w:lang w:val="en-US" w:eastAsia="zh-CN"/>
        </w:rPr>
      </w:pPr>
      <w:r>
        <w:rPr>
          <w:rFonts w:hint="default"/>
          <w:lang w:val="en-US" w:eastAsia="zh-CN"/>
        </w:rPr>
        <w:t>4</w:t>
      </w:r>
      <w:r>
        <w:rPr>
          <w:rFonts w:hint="eastAsia"/>
          <w:lang w:val="en-US" w:eastAsia="zh-CN"/>
        </w:rPr>
        <w:t xml:space="preserve">. </w:t>
      </w:r>
      <w:r>
        <w:rPr>
          <w:rFonts w:hint="default"/>
          <w:lang w:val="en-US" w:eastAsia="zh-CN"/>
        </w:rPr>
        <w:t>工伤保险</w:t>
      </w:r>
    </w:p>
    <w:p w14:paraId="31AC61EF">
      <w:pPr>
        <w:rPr>
          <w:rFonts w:hint="default"/>
          <w:lang w:val="en-US" w:eastAsia="zh-CN"/>
        </w:rPr>
      </w:pPr>
      <w:r>
        <w:rPr>
          <w:rFonts w:hint="default"/>
          <w:lang w:val="en-US" w:eastAsia="zh-CN"/>
        </w:rPr>
        <w:t>根据《工伤保险条例》等相关法律法规规定，企业为员工办理了工伤保险。</w:t>
      </w:r>
    </w:p>
    <w:p w14:paraId="645282A5">
      <w:pPr>
        <w:pStyle w:val="3"/>
        <w:bidi w:val="0"/>
        <w:rPr>
          <w:rFonts w:hint="default"/>
          <w:lang w:val="en-US" w:eastAsia="zh-CN"/>
        </w:rPr>
      </w:pPr>
      <w:bookmarkStart w:id="39" w:name="_Toc6361"/>
      <w:r>
        <w:rPr>
          <w:rFonts w:hint="default"/>
          <w:lang w:val="en-US" w:eastAsia="zh-CN"/>
        </w:rPr>
        <w:t>2.9 安全教育培训</w:t>
      </w:r>
      <w:bookmarkEnd w:id="39"/>
    </w:p>
    <w:p w14:paraId="0E020D9A">
      <w:pPr>
        <w:rPr>
          <w:rFonts w:hint="default"/>
          <w:lang w:val="en-US" w:eastAsia="zh-CN"/>
        </w:rPr>
      </w:pPr>
      <w:r>
        <w:rPr>
          <w:rFonts w:hint="default"/>
          <w:lang w:val="en-US" w:eastAsia="zh-CN"/>
        </w:rPr>
        <w:t>为了落实国家《安全生产法》的法律法规及公司安全规章制度的要求，提高广大员工安全知识水平和安全操作技能，以减少和避免各类安全事故的发生，江西省宜丰万国矿业有限公司对所有从业人员进行了安全知识培训。</w:t>
      </w:r>
    </w:p>
    <w:p w14:paraId="4F6BD99A">
      <w:pPr>
        <w:pStyle w:val="3"/>
        <w:bidi w:val="0"/>
        <w:rPr>
          <w:rFonts w:hint="default"/>
          <w:lang w:val="en-US" w:eastAsia="zh-CN"/>
        </w:rPr>
      </w:pPr>
      <w:bookmarkStart w:id="40" w:name="_Toc6832"/>
      <w:r>
        <w:rPr>
          <w:rFonts w:hint="default"/>
          <w:lang w:val="en-US" w:eastAsia="zh-CN"/>
        </w:rPr>
        <w:t>2.10 安全投入</w:t>
      </w:r>
      <w:bookmarkEnd w:id="40"/>
    </w:p>
    <w:p w14:paraId="13C34027">
      <w:pPr>
        <w:rPr>
          <w:rFonts w:hint="default"/>
          <w:lang w:val="en-US" w:eastAsia="zh-CN"/>
        </w:rPr>
      </w:pPr>
      <w:r>
        <w:rPr>
          <w:rFonts w:hint="default"/>
          <w:lang w:val="en-US" w:eastAsia="zh-CN"/>
        </w:rPr>
        <w:t>江西省宜丰万国矿业有限公司制定了2025年安全措施费用提取和使用计划，计划投入1471万，主要用于劳动防护用品费用支出，应急救援器材、设备及进行应急救援演练的支出、安全生产隐患整改支出、安全评价报告及安责险的支出、重大危险源的评估、整改及监控及安全宣传、教育、技能培训的支出、安全奖励的支出，做到安全费用专款专用。</w:t>
      </w:r>
    </w:p>
    <w:p w14:paraId="4CEFFDF6">
      <w:pPr>
        <w:pStyle w:val="3"/>
        <w:bidi w:val="0"/>
        <w:rPr>
          <w:rFonts w:hint="default"/>
          <w:lang w:val="en-US" w:eastAsia="zh-CN"/>
        </w:rPr>
      </w:pPr>
      <w:bookmarkStart w:id="41" w:name="_Toc10500"/>
      <w:r>
        <w:rPr>
          <w:rFonts w:hint="default"/>
          <w:lang w:val="en-US" w:eastAsia="zh-CN"/>
        </w:rPr>
        <w:t>2.11</w:t>
      </w:r>
      <w:r>
        <w:rPr>
          <w:rFonts w:hint="eastAsia"/>
          <w:lang w:val="en-US" w:eastAsia="zh-CN"/>
        </w:rPr>
        <w:t xml:space="preserve"> </w:t>
      </w:r>
      <w:r>
        <w:rPr>
          <w:rFonts w:hint="default"/>
          <w:lang w:val="en-US" w:eastAsia="zh-CN"/>
        </w:rPr>
        <w:t>事故应急救援</w:t>
      </w:r>
      <w:bookmarkEnd w:id="41"/>
    </w:p>
    <w:p w14:paraId="16D2D98A">
      <w:pPr>
        <w:rPr>
          <w:rFonts w:hint="default"/>
          <w:lang w:val="en-US" w:eastAsia="zh-CN"/>
        </w:rPr>
      </w:pPr>
      <w:r>
        <w:rPr>
          <w:rFonts w:hint="default"/>
          <w:lang w:val="en-US" w:eastAsia="zh-CN"/>
        </w:rPr>
        <w:t>江西省宜丰万国矿业有限公司编制了《江西省宜丰万国矿业有限公司生产安全事故应急预案》。该应急救援预案经宜丰县应急管理局备案，备案编号为3609242022GM121。</w:t>
      </w:r>
    </w:p>
    <w:p w14:paraId="74F46EE4">
      <w:pPr>
        <w:pStyle w:val="3"/>
        <w:bidi w:val="0"/>
        <w:rPr>
          <w:rFonts w:hint="default"/>
          <w:lang w:val="en-US" w:eastAsia="zh-CN"/>
        </w:rPr>
      </w:pPr>
      <w:bookmarkStart w:id="42" w:name="_Toc1457"/>
      <w:r>
        <w:rPr>
          <w:rFonts w:hint="default"/>
          <w:lang w:val="en-US" w:eastAsia="zh-CN"/>
        </w:rPr>
        <w:t>2.12 现场不安全项</w:t>
      </w:r>
      <w:bookmarkEnd w:id="42"/>
    </w:p>
    <w:p w14:paraId="15802C80">
      <w:pPr>
        <w:rPr>
          <w:rFonts w:hint="default"/>
          <w:lang w:val="en-US" w:eastAsia="zh-CN"/>
        </w:rPr>
      </w:pPr>
      <w:r>
        <w:rPr>
          <w:rFonts w:hint="default"/>
          <w:lang w:val="en-US" w:eastAsia="zh-CN"/>
        </w:rPr>
        <w:t>现场勘查时，评价小组发现现场有</w:t>
      </w:r>
      <w:r>
        <w:rPr>
          <w:rFonts w:hint="eastAsia"/>
          <w:b w:val="0"/>
          <w:bCs w:val="0"/>
          <w:color w:val="auto"/>
          <w:lang w:val="en-US" w:eastAsia="zh-CN"/>
        </w:rPr>
        <w:t>10</w:t>
      </w:r>
      <w:r>
        <w:rPr>
          <w:rFonts w:hint="default"/>
          <w:b w:val="0"/>
          <w:bCs w:val="0"/>
          <w:color w:val="auto"/>
          <w:lang w:val="en-US" w:eastAsia="zh-CN"/>
        </w:rPr>
        <w:t>处不安全项</w:t>
      </w:r>
      <w:r>
        <w:rPr>
          <w:rFonts w:hint="eastAsia"/>
          <w:lang w:val="en-US" w:eastAsia="zh-CN"/>
        </w:rPr>
        <w:t>，</w:t>
      </w:r>
      <w:r>
        <w:rPr>
          <w:rFonts w:hint="default"/>
          <w:lang w:val="en-US" w:eastAsia="zh-CN"/>
        </w:rPr>
        <w:t>经与企业沟通交流，现场已完成整改，整改情况见整改附件。</w:t>
      </w:r>
    </w:p>
    <w:p w14:paraId="12220647">
      <w:pPr>
        <w:rPr>
          <w:rFonts w:hint="default"/>
          <w:color w:val="auto"/>
          <w:lang w:val="en-US" w:eastAsia="zh-CN"/>
        </w:rPr>
      </w:pPr>
      <w:r>
        <w:rPr>
          <w:rFonts w:hint="default"/>
          <w:color w:val="auto"/>
          <w:lang w:val="en-US" w:eastAsia="zh-CN"/>
        </w:rPr>
        <w:t>2025年</w:t>
      </w:r>
      <w:r>
        <w:rPr>
          <w:rFonts w:hint="eastAsia"/>
          <w:color w:val="auto"/>
          <w:lang w:val="en-US" w:eastAsia="zh-CN"/>
        </w:rPr>
        <w:t>11</w:t>
      </w:r>
      <w:r>
        <w:rPr>
          <w:rFonts w:hint="default"/>
          <w:color w:val="auto"/>
          <w:lang w:val="en-US" w:eastAsia="zh-CN"/>
        </w:rPr>
        <w:t>月</w:t>
      </w:r>
      <w:r>
        <w:rPr>
          <w:rFonts w:hint="eastAsia"/>
          <w:color w:val="auto"/>
          <w:lang w:val="en-US" w:eastAsia="zh-CN"/>
        </w:rPr>
        <w:t>5</w:t>
      </w:r>
      <w:r>
        <w:rPr>
          <w:rFonts w:hint="default"/>
          <w:color w:val="auto"/>
          <w:lang w:val="en-US" w:eastAsia="zh-CN"/>
        </w:rPr>
        <w:t>日，安全验收专家组对该项目的评审过程中，通过现场检查和查阅有关资料，专家组发现项目在安全设施和安全措施中存在问题，并提出相应的改进措施，江西省宜丰万国矿业有限公司进行了相应的整改，整改情况见整改附件。</w:t>
      </w:r>
    </w:p>
    <w:p w14:paraId="16BF4B80">
      <w:pPr>
        <w:rPr>
          <w:rFonts w:hint="default"/>
          <w:color w:val="auto"/>
          <w:lang w:val="en-US" w:eastAsia="zh-CN"/>
        </w:rPr>
      </w:pPr>
    </w:p>
    <w:p w14:paraId="3595FA64">
      <w:pPr>
        <w:rPr>
          <w:rFonts w:hint="default"/>
          <w:color w:val="auto"/>
          <w:lang w:val="en-US" w:eastAsia="zh-CN"/>
        </w:rPr>
      </w:pPr>
      <w:r>
        <w:rPr>
          <w:rFonts w:hint="default"/>
          <w:color w:val="auto"/>
          <w:lang w:val="en-US" w:eastAsia="zh-CN"/>
        </w:rPr>
        <w:br w:type="page"/>
      </w:r>
    </w:p>
    <w:p w14:paraId="3EB57E5F">
      <w:pPr>
        <w:pStyle w:val="2"/>
        <w:numPr>
          <w:ilvl w:val="0"/>
          <w:numId w:val="1"/>
        </w:numPr>
        <w:bidi w:val="0"/>
        <w:ind w:left="0" w:leftChars="0" w:firstLine="0" w:firstLineChars="0"/>
        <w:rPr>
          <w:rFonts w:hint="default"/>
          <w:color w:val="auto"/>
          <w:lang w:val="en-US" w:eastAsia="zh-CN"/>
        </w:rPr>
      </w:pPr>
      <w:bookmarkStart w:id="43" w:name="_Toc20251"/>
      <w:r>
        <w:rPr>
          <w:rFonts w:hint="default"/>
          <w:color w:val="auto"/>
          <w:lang w:val="en-US" w:eastAsia="zh-CN"/>
        </w:rPr>
        <w:t>主要危险、有害因素辨识</w:t>
      </w:r>
      <w:bookmarkEnd w:id="43"/>
    </w:p>
    <w:p w14:paraId="3473298E">
      <w:pPr>
        <w:rPr>
          <w:rFonts w:hint="default"/>
          <w:lang w:val="en-US" w:eastAsia="zh-CN"/>
        </w:rPr>
      </w:pPr>
      <w:r>
        <w:rPr>
          <w:rFonts w:hint="default"/>
          <w:lang w:val="en-US" w:eastAsia="zh-CN"/>
        </w:rPr>
        <w:t>根据生产过程中产生的有害物质的理化特性、工艺过程特点和设备特点，以《企业职工伤亡事故分类》（GB6441-86）为主线，结合《生产过程危险和有害因素分类与代码》（GB/T13861-2022）中提出的危险和有害因素分类，综合事故起因物、诱导原因、致害物、伤害方式等方面，进行以下危险有害因素分析与辨识。</w:t>
      </w:r>
    </w:p>
    <w:p w14:paraId="28E50788">
      <w:pPr>
        <w:pStyle w:val="3"/>
        <w:bidi w:val="0"/>
        <w:rPr>
          <w:rFonts w:hint="default"/>
          <w:lang w:val="en-US" w:eastAsia="zh-CN"/>
        </w:rPr>
      </w:pPr>
      <w:bookmarkStart w:id="44" w:name="_Toc12606"/>
      <w:r>
        <w:rPr>
          <w:rFonts w:hint="default"/>
          <w:lang w:val="en-US" w:eastAsia="zh-CN"/>
        </w:rPr>
        <w:t>3.1 物料的危险、有害因素分析</w:t>
      </w:r>
      <w:bookmarkEnd w:id="44"/>
    </w:p>
    <w:p w14:paraId="228CB1EB">
      <w:pPr>
        <w:rPr>
          <w:rFonts w:hint="default"/>
          <w:lang w:val="en-US" w:eastAsia="zh-CN"/>
        </w:rPr>
      </w:pPr>
      <w:r>
        <w:rPr>
          <w:rFonts w:hint="default"/>
          <w:lang w:val="en-US" w:eastAsia="zh-CN"/>
        </w:rPr>
        <w:t>根据《危险化学品目录》（2015年版，2022年修订），项目危险化学品物质是1674柴油，1674柴油危险特性见下表所示。</w:t>
      </w:r>
    </w:p>
    <w:p w14:paraId="082FAC9E">
      <w:pPr>
        <w:ind w:left="0" w:leftChars="0" w:firstLine="0" w:firstLineChars="0"/>
        <w:jc w:val="center"/>
        <w:rPr>
          <w:rFonts w:hint="default"/>
          <w:lang w:val="en-US" w:eastAsia="zh-CN"/>
        </w:rPr>
      </w:pPr>
      <w:r>
        <w:rPr>
          <w:rFonts w:hint="eastAsia"/>
          <w:lang w:val="en-US" w:eastAsia="zh-CN"/>
        </w:rPr>
        <w:t xml:space="preserve">表3.1-1 </w:t>
      </w:r>
      <w:r>
        <w:rPr>
          <w:rFonts w:hint="default"/>
          <w:lang w:val="en-US" w:eastAsia="zh-CN"/>
        </w:rPr>
        <w:t>危险化学品物料危险特性表</w:t>
      </w:r>
    </w:p>
    <w:tbl>
      <w:tblPr>
        <w:tblStyle w:val="20"/>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
        <w:gridCol w:w="764"/>
        <w:gridCol w:w="674"/>
        <w:gridCol w:w="593"/>
        <w:gridCol w:w="1126"/>
        <w:gridCol w:w="995"/>
        <w:gridCol w:w="1203"/>
        <w:gridCol w:w="3018"/>
      </w:tblGrid>
      <w:tr w14:paraId="514F8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blHeader/>
          <w:jc w:val="center"/>
        </w:trPr>
        <w:tc>
          <w:tcPr>
            <w:tcW w:w="913" w:type="dxa"/>
            <w:noWrap w:val="0"/>
            <w:vAlign w:val="center"/>
          </w:tcPr>
          <w:p w14:paraId="4E86BD9C">
            <w:pPr>
              <w:widowControl/>
              <w:spacing w:line="240" w:lineRule="atLeast"/>
              <w:ind w:firstLine="0" w:firstLineChars="0"/>
              <w:jc w:val="center"/>
              <w:rPr>
                <w:b/>
                <w:bCs/>
                <w:color w:val="auto"/>
                <w:kern w:val="0"/>
                <w:sz w:val="21"/>
                <w:szCs w:val="21"/>
              </w:rPr>
            </w:pPr>
            <w:r>
              <w:rPr>
                <w:b/>
                <w:bCs/>
                <w:color w:val="auto"/>
                <w:kern w:val="0"/>
                <w:sz w:val="21"/>
                <w:szCs w:val="21"/>
              </w:rPr>
              <w:t>危险化学品目录序号</w:t>
            </w:r>
          </w:p>
        </w:tc>
        <w:tc>
          <w:tcPr>
            <w:tcW w:w="764" w:type="dxa"/>
            <w:noWrap w:val="0"/>
            <w:vAlign w:val="center"/>
          </w:tcPr>
          <w:p w14:paraId="7F717BDE">
            <w:pPr>
              <w:widowControl/>
              <w:spacing w:line="240" w:lineRule="atLeast"/>
              <w:ind w:firstLine="0" w:firstLineChars="0"/>
              <w:jc w:val="center"/>
              <w:rPr>
                <w:b/>
                <w:bCs/>
                <w:color w:val="auto"/>
                <w:kern w:val="0"/>
                <w:sz w:val="21"/>
                <w:szCs w:val="21"/>
              </w:rPr>
            </w:pPr>
            <w:r>
              <w:rPr>
                <w:b/>
                <w:bCs/>
                <w:color w:val="auto"/>
                <w:kern w:val="0"/>
                <w:sz w:val="21"/>
                <w:szCs w:val="21"/>
              </w:rPr>
              <w:t>品名</w:t>
            </w:r>
          </w:p>
        </w:tc>
        <w:tc>
          <w:tcPr>
            <w:tcW w:w="674" w:type="dxa"/>
            <w:noWrap w:val="0"/>
            <w:vAlign w:val="center"/>
          </w:tcPr>
          <w:p w14:paraId="43D26F5E">
            <w:pPr>
              <w:widowControl/>
              <w:spacing w:line="240" w:lineRule="atLeast"/>
              <w:ind w:firstLine="0" w:firstLineChars="0"/>
              <w:jc w:val="center"/>
              <w:rPr>
                <w:b/>
                <w:bCs/>
                <w:color w:val="auto"/>
                <w:kern w:val="0"/>
                <w:sz w:val="21"/>
                <w:szCs w:val="21"/>
              </w:rPr>
            </w:pPr>
            <w:r>
              <w:rPr>
                <w:b/>
                <w:bCs/>
                <w:color w:val="auto"/>
                <w:kern w:val="0"/>
                <w:sz w:val="21"/>
                <w:szCs w:val="21"/>
              </w:rPr>
              <w:t>火灾</w:t>
            </w:r>
          </w:p>
          <w:p w14:paraId="6579D096">
            <w:pPr>
              <w:widowControl/>
              <w:spacing w:line="240" w:lineRule="atLeast"/>
              <w:ind w:firstLine="0" w:firstLineChars="0"/>
              <w:jc w:val="center"/>
              <w:rPr>
                <w:b/>
                <w:bCs/>
                <w:color w:val="auto"/>
                <w:kern w:val="0"/>
                <w:sz w:val="21"/>
                <w:szCs w:val="21"/>
              </w:rPr>
            </w:pPr>
            <w:r>
              <w:rPr>
                <w:b/>
                <w:bCs/>
                <w:color w:val="auto"/>
                <w:kern w:val="0"/>
                <w:sz w:val="21"/>
                <w:szCs w:val="21"/>
              </w:rPr>
              <w:t>类别</w:t>
            </w:r>
          </w:p>
        </w:tc>
        <w:tc>
          <w:tcPr>
            <w:tcW w:w="593" w:type="dxa"/>
            <w:noWrap w:val="0"/>
            <w:vAlign w:val="center"/>
          </w:tcPr>
          <w:p w14:paraId="2AA5FD44">
            <w:pPr>
              <w:widowControl/>
              <w:spacing w:line="240" w:lineRule="atLeast"/>
              <w:ind w:firstLine="0" w:firstLineChars="0"/>
              <w:jc w:val="center"/>
              <w:rPr>
                <w:b/>
                <w:bCs/>
                <w:color w:val="auto"/>
                <w:kern w:val="0"/>
                <w:sz w:val="21"/>
                <w:szCs w:val="21"/>
              </w:rPr>
            </w:pPr>
            <w:r>
              <w:rPr>
                <w:b/>
                <w:bCs/>
                <w:color w:val="auto"/>
                <w:kern w:val="0"/>
                <w:sz w:val="21"/>
                <w:szCs w:val="21"/>
              </w:rPr>
              <w:t>闪点</w:t>
            </w:r>
          </w:p>
        </w:tc>
        <w:tc>
          <w:tcPr>
            <w:tcW w:w="1126" w:type="dxa"/>
            <w:noWrap w:val="0"/>
            <w:vAlign w:val="center"/>
          </w:tcPr>
          <w:p w14:paraId="70BC5056">
            <w:pPr>
              <w:widowControl/>
              <w:spacing w:line="240" w:lineRule="atLeast"/>
              <w:ind w:firstLine="0" w:firstLineChars="0"/>
              <w:jc w:val="center"/>
              <w:rPr>
                <w:b/>
                <w:bCs/>
                <w:color w:val="auto"/>
                <w:kern w:val="0"/>
                <w:sz w:val="21"/>
                <w:szCs w:val="21"/>
              </w:rPr>
            </w:pPr>
            <w:r>
              <w:rPr>
                <w:b/>
                <w:bCs/>
                <w:color w:val="auto"/>
                <w:kern w:val="0"/>
                <w:sz w:val="21"/>
                <w:szCs w:val="21"/>
              </w:rPr>
              <w:t>沸点</w:t>
            </w:r>
          </w:p>
        </w:tc>
        <w:tc>
          <w:tcPr>
            <w:tcW w:w="995" w:type="dxa"/>
            <w:noWrap w:val="0"/>
            <w:vAlign w:val="center"/>
          </w:tcPr>
          <w:p w14:paraId="5BA8E736">
            <w:pPr>
              <w:widowControl/>
              <w:spacing w:line="240" w:lineRule="atLeast"/>
              <w:ind w:firstLine="0" w:firstLineChars="0"/>
              <w:jc w:val="center"/>
              <w:rPr>
                <w:b/>
                <w:bCs/>
                <w:color w:val="auto"/>
                <w:kern w:val="0"/>
                <w:sz w:val="21"/>
                <w:szCs w:val="21"/>
              </w:rPr>
            </w:pPr>
            <w:r>
              <w:rPr>
                <w:b/>
                <w:bCs/>
                <w:color w:val="auto"/>
                <w:kern w:val="0"/>
                <w:sz w:val="21"/>
                <w:szCs w:val="21"/>
              </w:rPr>
              <w:t>爆炸极限（%）</w:t>
            </w:r>
          </w:p>
        </w:tc>
        <w:tc>
          <w:tcPr>
            <w:tcW w:w="1203" w:type="dxa"/>
            <w:noWrap w:val="0"/>
            <w:vAlign w:val="center"/>
          </w:tcPr>
          <w:p w14:paraId="4E2C010B">
            <w:pPr>
              <w:widowControl/>
              <w:spacing w:line="240" w:lineRule="atLeast"/>
              <w:ind w:firstLine="0" w:firstLineChars="0"/>
              <w:jc w:val="center"/>
              <w:rPr>
                <w:b/>
                <w:bCs/>
                <w:color w:val="auto"/>
                <w:kern w:val="0"/>
                <w:sz w:val="21"/>
                <w:szCs w:val="21"/>
              </w:rPr>
            </w:pPr>
            <w:r>
              <w:rPr>
                <w:b/>
                <w:bCs/>
                <w:color w:val="auto"/>
                <w:kern w:val="0"/>
                <w:sz w:val="21"/>
                <w:szCs w:val="21"/>
              </w:rPr>
              <w:t>CAS号</w:t>
            </w:r>
          </w:p>
        </w:tc>
        <w:tc>
          <w:tcPr>
            <w:tcW w:w="3018" w:type="dxa"/>
            <w:noWrap w:val="0"/>
            <w:vAlign w:val="center"/>
          </w:tcPr>
          <w:p w14:paraId="3B08A815">
            <w:pPr>
              <w:widowControl/>
              <w:spacing w:line="240" w:lineRule="atLeast"/>
              <w:ind w:firstLine="0" w:firstLineChars="0"/>
              <w:jc w:val="center"/>
              <w:rPr>
                <w:b/>
                <w:bCs/>
                <w:color w:val="auto"/>
                <w:sz w:val="21"/>
                <w:szCs w:val="21"/>
              </w:rPr>
            </w:pPr>
            <w:r>
              <w:rPr>
                <w:b/>
                <w:bCs/>
                <w:color w:val="auto"/>
                <w:sz w:val="21"/>
                <w:szCs w:val="21"/>
              </w:rPr>
              <w:t>危险性类别</w:t>
            </w:r>
          </w:p>
          <w:p w14:paraId="79EC8743">
            <w:pPr>
              <w:pStyle w:val="49"/>
              <w:spacing w:line="240" w:lineRule="atLeast"/>
              <w:jc w:val="center"/>
              <w:rPr>
                <w:color w:val="auto"/>
              </w:rPr>
            </w:pPr>
            <w:r>
              <w:rPr>
                <w:b/>
                <w:bCs/>
                <w:color w:val="auto"/>
              </w:rPr>
              <w:t>《危险化学品分类信息表》</w:t>
            </w:r>
          </w:p>
        </w:tc>
      </w:tr>
      <w:tr w14:paraId="0CEC8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blHeader/>
          <w:jc w:val="center"/>
        </w:trPr>
        <w:tc>
          <w:tcPr>
            <w:tcW w:w="913" w:type="dxa"/>
            <w:noWrap w:val="0"/>
            <w:vAlign w:val="center"/>
          </w:tcPr>
          <w:p w14:paraId="7534F829">
            <w:pPr>
              <w:spacing w:line="240" w:lineRule="atLeast"/>
              <w:ind w:firstLine="0" w:firstLineChars="0"/>
              <w:jc w:val="center"/>
              <w:rPr>
                <w:color w:val="auto"/>
                <w:sz w:val="21"/>
                <w:szCs w:val="21"/>
              </w:rPr>
            </w:pPr>
            <w:r>
              <w:rPr>
                <w:color w:val="auto"/>
                <w:sz w:val="21"/>
                <w:szCs w:val="21"/>
              </w:rPr>
              <w:t>1674</w:t>
            </w:r>
          </w:p>
        </w:tc>
        <w:tc>
          <w:tcPr>
            <w:tcW w:w="764" w:type="dxa"/>
            <w:noWrap w:val="0"/>
            <w:vAlign w:val="center"/>
          </w:tcPr>
          <w:p w14:paraId="282A4FE6">
            <w:pPr>
              <w:spacing w:line="240" w:lineRule="atLeast"/>
              <w:ind w:firstLine="0" w:firstLineChars="0"/>
              <w:jc w:val="center"/>
              <w:rPr>
                <w:color w:val="auto"/>
                <w:sz w:val="21"/>
                <w:szCs w:val="21"/>
              </w:rPr>
            </w:pPr>
            <w:r>
              <w:rPr>
                <w:color w:val="auto"/>
                <w:sz w:val="21"/>
                <w:szCs w:val="21"/>
              </w:rPr>
              <w:t>柴油</w:t>
            </w:r>
          </w:p>
        </w:tc>
        <w:tc>
          <w:tcPr>
            <w:tcW w:w="674" w:type="dxa"/>
            <w:noWrap w:val="0"/>
            <w:vAlign w:val="center"/>
          </w:tcPr>
          <w:p w14:paraId="3470CDD8">
            <w:pPr>
              <w:spacing w:line="240" w:lineRule="atLeast"/>
              <w:ind w:firstLine="0" w:firstLineChars="0"/>
              <w:jc w:val="center"/>
              <w:rPr>
                <w:color w:val="auto"/>
                <w:sz w:val="21"/>
                <w:szCs w:val="21"/>
              </w:rPr>
            </w:pPr>
            <w:r>
              <w:rPr>
                <w:color w:val="auto"/>
                <w:sz w:val="21"/>
                <w:szCs w:val="21"/>
              </w:rPr>
              <w:t>丙</w:t>
            </w:r>
            <w:r>
              <w:rPr>
                <w:color w:val="auto"/>
                <w:sz w:val="21"/>
                <w:szCs w:val="21"/>
                <w:vertAlign w:val="subscript"/>
              </w:rPr>
              <w:t>A</w:t>
            </w:r>
          </w:p>
        </w:tc>
        <w:tc>
          <w:tcPr>
            <w:tcW w:w="593" w:type="dxa"/>
            <w:noWrap w:val="0"/>
            <w:vAlign w:val="center"/>
          </w:tcPr>
          <w:p w14:paraId="09693F5C">
            <w:pPr>
              <w:spacing w:line="240" w:lineRule="atLeast"/>
              <w:ind w:firstLine="0" w:firstLineChars="0"/>
              <w:jc w:val="center"/>
              <w:rPr>
                <w:color w:val="auto"/>
                <w:sz w:val="21"/>
                <w:szCs w:val="21"/>
              </w:rPr>
            </w:pPr>
            <w:r>
              <w:rPr>
                <w:color w:val="auto"/>
                <w:sz w:val="21"/>
                <w:szCs w:val="21"/>
              </w:rPr>
              <w:t>≥60</w:t>
            </w:r>
          </w:p>
        </w:tc>
        <w:tc>
          <w:tcPr>
            <w:tcW w:w="1126" w:type="dxa"/>
            <w:noWrap w:val="0"/>
            <w:vAlign w:val="center"/>
          </w:tcPr>
          <w:p w14:paraId="3D469864">
            <w:pPr>
              <w:spacing w:line="240" w:lineRule="atLeast"/>
              <w:ind w:firstLine="0" w:firstLineChars="0"/>
              <w:jc w:val="left"/>
              <w:rPr>
                <w:color w:val="auto"/>
                <w:kern w:val="0"/>
                <w:sz w:val="21"/>
                <w:szCs w:val="21"/>
              </w:rPr>
            </w:pPr>
            <w:r>
              <w:rPr>
                <w:color w:val="auto"/>
                <w:sz w:val="21"/>
                <w:szCs w:val="21"/>
              </w:rPr>
              <w:t>282～338</w:t>
            </w:r>
          </w:p>
        </w:tc>
        <w:tc>
          <w:tcPr>
            <w:tcW w:w="995" w:type="dxa"/>
            <w:noWrap w:val="0"/>
            <w:vAlign w:val="center"/>
          </w:tcPr>
          <w:p w14:paraId="5AB213B8">
            <w:pPr>
              <w:spacing w:line="240" w:lineRule="atLeast"/>
              <w:ind w:firstLine="0" w:firstLineChars="0"/>
              <w:jc w:val="center"/>
              <w:rPr>
                <w:color w:val="auto"/>
                <w:kern w:val="0"/>
                <w:sz w:val="21"/>
                <w:szCs w:val="21"/>
              </w:rPr>
            </w:pPr>
            <w:r>
              <w:rPr>
                <w:color w:val="auto"/>
                <w:kern w:val="0"/>
                <w:sz w:val="21"/>
                <w:szCs w:val="21"/>
              </w:rPr>
              <w:t>-</w:t>
            </w:r>
          </w:p>
        </w:tc>
        <w:tc>
          <w:tcPr>
            <w:tcW w:w="1203" w:type="dxa"/>
            <w:noWrap w:val="0"/>
            <w:vAlign w:val="center"/>
          </w:tcPr>
          <w:p w14:paraId="244EC4E9">
            <w:pPr>
              <w:spacing w:line="240" w:lineRule="atLeast"/>
              <w:ind w:firstLine="0" w:firstLineChars="0"/>
              <w:jc w:val="center"/>
              <w:rPr>
                <w:b/>
                <w:bCs/>
                <w:color w:val="auto"/>
                <w:sz w:val="21"/>
                <w:szCs w:val="21"/>
              </w:rPr>
            </w:pPr>
            <w:r>
              <w:rPr>
                <w:b w:val="0"/>
                <w:bCs w:val="0"/>
                <w:color w:val="auto"/>
                <w:sz w:val="21"/>
                <w:szCs w:val="21"/>
              </w:rPr>
              <w:t>68334-30-5</w:t>
            </w:r>
          </w:p>
        </w:tc>
        <w:tc>
          <w:tcPr>
            <w:tcW w:w="3018" w:type="dxa"/>
            <w:noWrap w:val="0"/>
            <w:vAlign w:val="center"/>
          </w:tcPr>
          <w:p w14:paraId="377B041B">
            <w:pPr>
              <w:widowControl/>
              <w:spacing w:line="240" w:lineRule="atLeast"/>
              <w:ind w:firstLine="0" w:firstLineChars="0"/>
              <w:rPr>
                <w:color w:val="auto"/>
                <w:sz w:val="21"/>
                <w:szCs w:val="21"/>
              </w:rPr>
            </w:pPr>
            <w:r>
              <w:rPr>
                <w:color w:val="auto"/>
                <w:kern w:val="0"/>
                <w:sz w:val="21"/>
                <w:szCs w:val="21"/>
              </w:rPr>
              <w:t>易燃液体</w:t>
            </w:r>
            <w:r>
              <w:rPr>
                <w:rFonts w:hint="eastAsia"/>
                <w:color w:val="auto"/>
                <w:kern w:val="0"/>
                <w:sz w:val="21"/>
                <w:szCs w:val="21"/>
                <w:lang w:eastAsia="zh-CN"/>
              </w:rPr>
              <w:t>，</w:t>
            </w:r>
            <w:r>
              <w:rPr>
                <w:color w:val="auto"/>
                <w:kern w:val="0"/>
                <w:sz w:val="21"/>
                <w:szCs w:val="21"/>
              </w:rPr>
              <w:t>类别3</w:t>
            </w:r>
          </w:p>
        </w:tc>
      </w:tr>
    </w:tbl>
    <w:p w14:paraId="06BDCF16">
      <w:pPr>
        <w:pStyle w:val="3"/>
        <w:bidi w:val="0"/>
        <w:rPr>
          <w:rFonts w:hint="default"/>
          <w:lang w:val="en-US" w:eastAsia="zh-CN"/>
        </w:rPr>
      </w:pPr>
      <w:bookmarkStart w:id="45" w:name="_Toc31136"/>
      <w:r>
        <w:rPr>
          <w:rFonts w:hint="default"/>
          <w:lang w:val="en-US" w:eastAsia="zh-CN"/>
        </w:rPr>
        <w:t>3.2 危险化学品辨识</w:t>
      </w:r>
      <w:bookmarkEnd w:id="45"/>
    </w:p>
    <w:p w14:paraId="62F00B5D">
      <w:pPr>
        <w:rPr>
          <w:rFonts w:hint="default"/>
          <w:lang w:val="en-US" w:eastAsia="zh-CN"/>
        </w:rPr>
      </w:pPr>
      <w:r>
        <w:rPr>
          <w:rFonts w:hint="default"/>
          <w:lang w:val="en-US" w:eastAsia="zh-CN"/>
        </w:rPr>
        <w:t>1</w:t>
      </w:r>
      <w:r>
        <w:rPr>
          <w:rFonts w:hint="eastAsia"/>
          <w:lang w:val="en-US" w:eastAsia="zh-CN"/>
        </w:rPr>
        <w:t>.</w:t>
      </w:r>
      <w:r>
        <w:rPr>
          <w:rFonts w:hint="default"/>
          <w:lang w:val="en-US" w:eastAsia="zh-CN"/>
        </w:rPr>
        <w:t xml:space="preserve"> 易制毒化学品辨识</w:t>
      </w:r>
    </w:p>
    <w:p w14:paraId="5081C567">
      <w:pPr>
        <w:rPr>
          <w:rFonts w:hint="default"/>
          <w:lang w:val="en-US" w:eastAsia="zh-CN"/>
        </w:rPr>
      </w:pPr>
      <w:r>
        <w:rPr>
          <w:rFonts w:hint="default"/>
          <w:lang w:val="en-US" w:eastAsia="zh-CN"/>
        </w:rPr>
        <w:t>根据《易制毒化学品管理条例》（国务院令第445号，国办函〔2021〕58号增补）及相关公告等进行辨识，</w:t>
      </w:r>
      <w:r>
        <w:rPr>
          <w:rFonts w:hint="eastAsia"/>
          <w:lang w:val="en-US" w:eastAsia="zh-CN"/>
        </w:rPr>
        <w:t>本项目</w:t>
      </w:r>
      <w:r>
        <w:rPr>
          <w:rFonts w:hint="default"/>
          <w:lang w:val="en-US" w:eastAsia="zh-CN"/>
        </w:rPr>
        <w:t>不涉及易制毒化学品。</w:t>
      </w:r>
    </w:p>
    <w:p w14:paraId="0C868194">
      <w:pPr>
        <w:rPr>
          <w:rFonts w:hint="default"/>
          <w:lang w:val="en-US" w:eastAsia="zh-CN"/>
        </w:rPr>
      </w:pPr>
      <w:r>
        <w:rPr>
          <w:rFonts w:hint="default"/>
          <w:lang w:val="en-US" w:eastAsia="zh-CN"/>
        </w:rPr>
        <w:t>2</w:t>
      </w:r>
      <w:r>
        <w:rPr>
          <w:rFonts w:hint="eastAsia"/>
          <w:lang w:val="en-US" w:eastAsia="zh-CN"/>
        </w:rPr>
        <w:t>.</w:t>
      </w:r>
      <w:r>
        <w:rPr>
          <w:rFonts w:hint="default"/>
          <w:lang w:val="en-US" w:eastAsia="zh-CN"/>
        </w:rPr>
        <w:t xml:space="preserve"> 监控化学品辨识</w:t>
      </w:r>
    </w:p>
    <w:p w14:paraId="6A9C137D">
      <w:pPr>
        <w:rPr>
          <w:rFonts w:hint="default"/>
          <w:lang w:val="en-US" w:eastAsia="zh-CN"/>
        </w:rPr>
      </w:pPr>
      <w:r>
        <w:rPr>
          <w:rFonts w:hint="default"/>
          <w:lang w:val="en-US" w:eastAsia="zh-CN"/>
        </w:rPr>
        <w:t>根据《中华人民共和国监控化学品管理条例》（国务院令第190号）、《各类监控化学品名录》（化学工业部令第11号）及《列入第三类监控化学品的新增品种清单》（国家石油和化学工业局令第1号）进行辨识，</w:t>
      </w:r>
      <w:r>
        <w:rPr>
          <w:rFonts w:hint="eastAsia"/>
          <w:lang w:val="en-US" w:eastAsia="zh-CN"/>
        </w:rPr>
        <w:t>本项目</w:t>
      </w:r>
      <w:r>
        <w:rPr>
          <w:rFonts w:hint="default"/>
          <w:lang w:val="en-US" w:eastAsia="zh-CN"/>
        </w:rPr>
        <w:t>不涉及监控化学品。</w:t>
      </w:r>
    </w:p>
    <w:p w14:paraId="25C80D9D">
      <w:pPr>
        <w:rPr>
          <w:rFonts w:hint="default"/>
          <w:lang w:val="en-US" w:eastAsia="zh-CN"/>
        </w:rPr>
      </w:pPr>
      <w:r>
        <w:rPr>
          <w:rFonts w:hint="default"/>
          <w:lang w:val="en-US" w:eastAsia="zh-CN"/>
        </w:rPr>
        <w:t>3</w:t>
      </w:r>
      <w:r>
        <w:rPr>
          <w:rFonts w:hint="eastAsia"/>
          <w:lang w:val="en-US" w:eastAsia="zh-CN"/>
        </w:rPr>
        <w:t>.</w:t>
      </w:r>
      <w:r>
        <w:rPr>
          <w:rFonts w:hint="default"/>
          <w:lang w:val="en-US" w:eastAsia="zh-CN"/>
        </w:rPr>
        <w:t xml:space="preserve"> 易制爆化学品辨识</w:t>
      </w:r>
    </w:p>
    <w:p w14:paraId="71CDED23">
      <w:pPr>
        <w:rPr>
          <w:rFonts w:hint="default"/>
          <w:lang w:val="en-US" w:eastAsia="zh-CN"/>
        </w:rPr>
      </w:pPr>
      <w:r>
        <w:rPr>
          <w:rFonts w:hint="default"/>
          <w:lang w:val="en-US" w:eastAsia="zh-CN"/>
        </w:rPr>
        <w:t>对照《易制爆危险化学品名录（2017年版）》（公安部2017年公告）进行辨识，</w:t>
      </w:r>
      <w:r>
        <w:rPr>
          <w:rFonts w:hint="eastAsia"/>
          <w:lang w:val="en-US" w:eastAsia="zh-CN"/>
        </w:rPr>
        <w:t>本项目</w:t>
      </w:r>
      <w:r>
        <w:rPr>
          <w:rFonts w:hint="default"/>
          <w:lang w:val="en-US" w:eastAsia="zh-CN"/>
        </w:rPr>
        <w:t>不涉及易制爆化学品。</w:t>
      </w:r>
    </w:p>
    <w:p w14:paraId="63A20E54">
      <w:pPr>
        <w:rPr>
          <w:rFonts w:hint="default"/>
          <w:lang w:val="en-US" w:eastAsia="zh-CN"/>
        </w:rPr>
      </w:pPr>
      <w:r>
        <w:rPr>
          <w:rFonts w:hint="default"/>
          <w:lang w:val="en-US" w:eastAsia="zh-CN"/>
        </w:rPr>
        <w:t>4</w:t>
      </w:r>
      <w:r>
        <w:rPr>
          <w:rFonts w:hint="eastAsia"/>
          <w:lang w:val="en-US" w:eastAsia="zh-CN"/>
        </w:rPr>
        <w:t>.</w:t>
      </w:r>
      <w:r>
        <w:rPr>
          <w:rFonts w:hint="default"/>
          <w:lang w:val="en-US" w:eastAsia="zh-CN"/>
        </w:rPr>
        <w:t xml:space="preserve"> 剧毒、高毒化学品辨识</w:t>
      </w:r>
    </w:p>
    <w:p w14:paraId="4CCE957D">
      <w:pPr>
        <w:rPr>
          <w:rFonts w:hint="default"/>
          <w:lang w:val="en-US" w:eastAsia="zh-CN"/>
        </w:rPr>
      </w:pPr>
      <w:r>
        <w:rPr>
          <w:rFonts w:hint="default"/>
          <w:lang w:val="en-US" w:eastAsia="zh-CN"/>
        </w:rPr>
        <w:t>根据依据《危险化学品目录（2022修订版）》（应急部等十部门公告（2022年第7号），</w:t>
      </w:r>
      <w:r>
        <w:rPr>
          <w:rFonts w:hint="eastAsia"/>
          <w:lang w:val="en-US" w:eastAsia="zh-CN"/>
        </w:rPr>
        <w:t>本项目</w:t>
      </w:r>
      <w:r>
        <w:rPr>
          <w:rFonts w:hint="default"/>
          <w:lang w:val="en-US" w:eastAsia="zh-CN"/>
        </w:rPr>
        <w:t>不涉及剧毒物质。</w:t>
      </w:r>
    </w:p>
    <w:p w14:paraId="079C5FE2">
      <w:pPr>
        <w:rPr>
          <w:rFonts w:hint="default"/>
          <w:lang w:val="en-US" w:eastAsia="zh-CN"/>
        </w:rPr>
      </w:pPr>
      <w:r>
        <w:rPr>
          <w:rFonts w:hint="default"/>
          <w:lang w:val="en-US" w:eastAsia="zh-CN"/>
        </w:rPr>
        <w:t>依据《高毒物品目录》（2003年版）辨识，</w:t>
      </w:r>
      <w:r>
        <w:rPr>
          <w:rFonts w:hint="eastAsia"/>
          <w:lang w:val="en-US" w:eastAsia="zh-CN"/>
        </w:rPr>
        <w:t>本项目</w:t>
      </w:r>
      <w:r>
        <w:rPr>
          <w:rFonts w:hint="default"/>
          <w:lang w:val="en-US" w:eastAsia="zh-CN"/>
        </w:rPr>
        <w:t>不涉及高毒物质。</w:t>
      </w:r>
    </w:p>
    <w:p w14:paraId="16CB1F82">
      <w:pPr>
        <w:rPr>
          <w:rFonts w:hint="default"/>
          <w:lang w:val="en-US" w:eastAsia="zh-CN"/>
        </w:rPr>
      </w:pPr>
      <w:r>
        <w:rPr>
          <w:rFonts w:hint="default"/>
          <w:lang w:val="en-US" w:eastAsia="zh-CN"/>
        </w:rPr>
        <w:t>5</w:t>
      </w:r>
      <w:r>
        <w:rPr>
          <w:rFonts w:hint="eastAsia"/>
          <w:lang w:val="en-US" w:eastAsia="zh-CN"/>
        </w:rPr>
        <w:t>.</w:t>
      </w:r>
      <w:r>
        <w:rPr>
          <w:rFonts w:hint="default"/>
          <w:lang w:val="en-US" w:eastAsia="zh-CN"/>
        </w:rPr>
        <w:t xml:space="preserve"> 特别管控化学品辨识</w:t>
      </w:r>
    </w:p>
    <w:p w14:paraId="48917329">
      <w:pPr>
        <w:rPr>
          <w:rFonts w:hint="default"/>
          <w:lang w:val="en-US" w:eastAsia="zh-CN"/>
        </w:rPr>
      </w:pPr>
      <w:r>
        <w:rPr>
          <w:rFonts w:hint="default"/>
          <w:lang w:val="en-US" w:eastAsia="zh-CN"/>
        </w:rPr>
        <w:t>根据《特别管控危险化学品目录（第一版）》（应急管理部、工业和信息化部、公安部、交通运输部《公告》2020年第3号），</w:t>
      </w:r>
      <w:r>
        <w:rPr>
          <w:rFonts w:hint="eastAsia"/>
          <w:lang w:val="en-US" w:eastAsia="zh-CN"/>
        </w:rPr>
        <w:t>本项目</w:t>
      </w:r>
      <w:r>
        <w:rPr>
          <w:rFonts w:hint="default"/>
          <w:lang w:val="en-US" w:eastAsia="zh-CN"/>
        </w:rPr>
        <w:t>不涉及特别管控危险化学品。</w:t>
      </w:r>
    </w:p>
    <w:p w14:paraId="68BF7DA0">
      <w:pPr>
        <w:pStyle w:val="3"/>
        <w:bidi w:val="0"/>
        <w:rPr>
          <w:rFonts w:hint="default"/>
          <w:lang w:val="en-US" w:eastAsia="zh-CN"/>
        </w:rPr>
      </w:pPr>
      <w:bookmarkStart w:id="46" w:name="_Toc5704"/>
      <w:r>
        <w:rPr>
          <w:rFonts w:hint="default"/>
          <w:lang w:val="en-US" w:eastAsia="zh-CN"/>
        </w:rPr>
        <w:t>3.3 主要危险、有害因素辨识及分布情况</w:t>
      </w:r>
      <w:bookmarkEnd w:id="46"/>
    </w:p>
    <w:p w14:paraId="5DB3BACF">
      <w:pPr>
        <w:pStyle w:val="4"/>
        <w:bidi w:val="0"/>
        <w:rPr>
          <w:rFonts w:hint="default"/>
          <w:lang w:val="en-US" w:eastAsia="zh-CN"/>
        </w:rPr>
      </w:pPr>
      <w:bookmarkStart w:id="47" w:name="_Toc22610"/>
      <w:r>
        <w:rPr>
          <w:rFonts w:hint="default"/>
          <w:lang w:val="en-US" w:eastAsia="zh-CN"/>
        </w:rPr>
        <w:t>3.3.1 主要危险因素辨识</w:t>
      </w:r>
      <w:bookmarkEnd w:id="47"/>
    </w:p>
    <w:p w14:paraId="0F18F6CE">
      <w:pPr>
        <w:rPr>
          <w:rFonts w:hint="default"/>
          <w:b/>
          <w:bCs/>
          <w:lang w:val="en-US" w:eastAsia="zh-CN"/>
        </w:rPr>
      </w:pPr>
      <w:r>
        <w:rPr>
          <w:rFonts w:hint="eastAsia"/>
          <w:b/>
          <w:bCs/>
          <w:lang w:val="en-US" w:eastAsia="zh-CN"/>
        </w:rPr>
        <w:t>一、</w:t>
      </w:r>
      <w:r>
        <w:rPr>
          <w:rFonts w:hint="default"/>
          <w:b/>
          <w:bCs/>
          <w:lang w:val="en-US" w:eastAsia="zh-CN"/>
        </w:rPr>
        <w:t>火灾、爆炸</w:t>
      </w:r>
    </w:p>
    <w:p w14:paraId="5F8252F7">
      <w:pPr>
        <w:rPr>
          <w:rFonts w:hint="default"/>
          <w:lang w:val="en-US" w:eastAsia="zh-CN"/>
        </w:rPr>
      </w:pPr>
      <w:r>
        <w:rPr>
          <w:rFonts w:hint="default"/>
          <w:lang w:val="en-US" w:eastAsia="zh-CN"/>
        </w:rPr>
        <w:t>柴油具有易燃性，不易挥发，闪点高，可能发生火灾事故。其发生火灾、爆炸可能性有：</w:t>
      </w:r>
    </w:p>
    <w:p w14:paraId="65BA5EA5">
      <w:pPr>
        <w:rPr>
          <w:rFonts w:hint="default"/>
          <w:lang w:val="en-US" w:eastAsia="zh-CN"/>
        </w:rPr>
      </w:pPr>
      <w:r>
        <w:rPr>
          <w:rFonts w:hint="default"/>
          <w:lang w:val="en-US" w:eastAsia="zh-CN"/>
        </w:rPr>
        <w:t>1</w:t>
      </w:r>
      <w:r>
        <w:rPr>
          <w:rFonts w:hint="eastAsia"/>
          <w:lang w:val="en-US" w:eastAsia="zh-CN"/>
        </w:rPr>
        <w:t xml:space="preserve">. </w:t>
      </w:r>
      <w:r>
        <w:rPr>
          <w:rFonts w:hint="default"/>
          <w:lang w:val="en-US" w:eastAsia="zh-CN"/>
        </w:rPr>
        <w:t>泄漏：</w:t>
      </w:r>
    </w:p>
    <w:p w14:paraId="0398F214">
      <w:pPr>
        <w:rPr>
          <w:rFonts w:hint="default"/>
          <w:lang w:val="en-US" w:eastAsia="zh-CN"/>
        </w:rPr>
      </w:pPr>
      <w:r>
        <w:rPr>
          <w:rFonts w:hint="default"/>
          <w:lang w:val="en-US" w:eastAsia="zh-CN"/>
        </w:rPr>
        <w:t>（1）储罐因长期使用，罐体腐蚀而产生穿孔、破裂，从而大量泄漏；</w:t>
      </w:r>
    </w:p>
    <w:p w14:paraId="38DEB413">
      <w:pPr>
        <w:rPr>
          <w:rFonts w:hint="default"/>
          <w:lang w:val="en-US" w:eastAsia="zh-CN"/>
        </w:rPr>
      </w:pPr>
      <w:r>
        <w:rPr>
          <w:rFonts w:hint="default"/>
          <w:lang w:val="en-US" w:eastAsia="zh-CN"/>
        </w:rPr>
        <w:t>（2）管道因长期使用，管壁腐蚀而产生穿孔、破裂；</w:t>
      </w:r>
    </w:p>
    <w:p w14:paraId="35251BF6">
      <w:pPr>
        <w:rPr>
          <w:rFonts w:hint="default"/>
          <w:lang w:val="en-US" w:eastAsia="zh-CN"/>
        </w:rPr>
      </w:pPr>
      <w:r>
        <w:rPr>
          <w:rFonts w:hint="default"/>
          <w:lang w:val="en-US" w:eastAsia="zh-CN"/>
        </w:rPr>
        <w:t>（3）管道焊接处焊接质量差发生裂缝而产生泄漏；</w:t>
      </w:r>
    </w:p>
    <w:p w14:paraId="77DA4B1B">
      <w:pPr>
        <w:rPr>
          <w:rFonts w:hint="default"/>
          <w:lang w:val="en-US" w:eastAsia="zh-CN"/>
        </w:rPr>
      </w:pPr>
      <w:r>
        <w:rPr>
          <w:rFonts w:hint="default"/>
          <w:lang w:val="en-US" w:eastAsia="zh-CN"/>
        </w:rPr>
        <w:t>（4）管道、法兰连接处垫子长期使用老化发生泄漏；</w:t>
      </w:r>
    </w:p>
    <w:p w14:paraId="5C8CDD23">
      <w:pPr>
        <w:rPr>
          <w:rFonts w:hint="default"/>
          <w:lang w:val="en-US" w:eastAsia="zh-CN"/>
        </w:rPr>
      </w:pPr>
      <w:r>
        <w:rPr>
          <w:rFonts w:hint="default"/>
          <w:lang w:val="en-US" w:eastAsia="zh-CN"/>
        </w:rPr>
        <w:t>（5）加注机管道连接不牢而发生泄漏；</w:t>
      </w:r>
    </w:p>
    <w:p w14:paraId="1C88C999">
      <w:pPr>
        <w:rPr>
          <w:rFonts w:hint="default"/>
          <w:lang w:val="en-US" w:eastAsia="zh-CN"/>
        </w:rPr>
      </w:pPr>
      <w:r>
        <w:rPr>
          <w:rFonts w:hint="default"/>
          <w:lang w:val="en-US" w:eastAsia="zh-CN"/>
        </w:rPr>
        <w:t>（6）储罐受外界热辐射的影响，罐体温度过高，从而从呼吸管中呼出大量油气；</w:t>
      </w:r>
    </w:p>
    <w:p w14:paraId="23D14854">
      <w:pPr>
        <w:rPr>
          <w:rFonts w:hint="default"/>
          <w:lang w:val="en-US" w:eastAsia="zh-CN"/>
        </w:rPr>
      </w:pPr>
      <w:r>
        <w:rPr>
          <w:rFonts w:hint="default"/>
          <w:lang w:val="en-US" w:eastAsia="zh-CN"/>
        </w:rPr>
        <w:t>（7）卸油、加油过程中的油气挥发；</w:t>
      </w:r>
    </w:p>
    <w:p w14:paraId="7540CC83">
      <w:pPr>
        <w:rPr>
          <w:rFonts w:hint="default"/>
          <w:lang w:val="en-US" w:eastAsia="zh-CN"/>
        </w:rPr>
      </w:pPr>
      <w:r>
        <w:rPr>
          <w:rFonts w:hint="default"/>
          <w:lang w:val="en-US" w:eastAsia="zh-CN"/>
        </w:rPr>
        <w:t>（8）车辆碰撞事故、加注车辆带枪启动、卸油车辆滑行等导致泄漏。</w:t>
      </w:r>
    </w:p>
    <w:p w14:paraId="0AF3C80B">
      <w:pPr>
        <w:rPr>
          <w:rFonts w:hint="default"/>
          <w:lang w:val="en-US" w:eastAsia="zh-CN"/>
        </w:rPr>
      </w:pPr>
      <w:r>
        <w:rPr>
          <w:rFonts w:hint="default"/>
          <w:lang w:val="en-US" w:eastAsia="zh-CN"/>
        </w:rPr>
        <w:t>2</w:t>
      </w:r>
      <w:r>
        <w:rPr>
          <w:rFonts w:hint="eastAsia"/>
          <w:lang w:val="en-US" w:eastAsia="zh-CN"/>
        </w:rPr>
        <w:t xml:space="preserve">. </w:t>
      </w:r>
      <w:r>
        <w:rPr>
          <w:rFonts w:hint="default"/>
          <w:lang w:val="en-US" w:eastAsia="zh-CN"/>
        </w:rPr>
        <w:t>点火源</w:t>
      </w:r>
    </w:p>
    <w:p w14:paraId="41F46868">
      <w:pPr>
        <w:rPr>
          <w:rFonts w:hint="default"/>
          <w:lang w:val="en-US" w:eastAsia="zh-CN"/>
        </w:rPr>
      </w:pPr>
      <w:r>
        <w:rPr>
          <w:rFonts w:hint="default"/>
          <w:lang w:val="en-US" w:eastAsia="zh-CN"/>
        </w:rPr>
        <w:t>（1）设备、管道、加油枪发生故障，出现摩擦、撞击等而产生火花。</w:t>
      </w:r>
    </w:p>
    <w:p w14:paraId="75FDBC9F">
      <w:pPr>
        <w:rPr>
          <w:rFonts w:hint="default"/>
          <w:lang w:val="en-US" w:eastAsia="zh-CN"/>
        </w:rPr>
      </w:pPr>
      <w:r>
        <w:rPr>
          <w:rFonts w:hint="default"/>
          <w:lang w:val="en-US" w:eastAsia="zh-CN"/>
        </w:rPr>
        <w:t>（2）电气绝缘失效，接触不良，过载、超压、短路引起电火花。</w:t>
      </w:r>
    </w:p>
    <w:p w14:paraId="3797066F">
      <w:pPr>
        <w:rPr>
          <w:rFonts w:hint="default"/>
          <w:lang w:val="en-US" w:eastAsia="zh-CN"/>
        </w:rPr>
      </w:pPr>
      <w:r>
        <w:rPr>
          <w:rFonts w:hint="default"/>
          <w:lang w:val="en-US" w:eastAsia="zh-CN"/>
        </w:rPr>
        <w:t>（3）燃爆场合的防爆电气失效或接入非防爆电气等。</w:t>
      </w:r>
    </w:p>
    <w:p w14:paraId="7C285DD7">
      <w:pPr>
        <w:rPr>
          <w:rFonts w:hint="default"/>
          <w:lang w:val="en-US" w:eastAsia="zh-CN"/>
        </w:rPr>
      </w:pPr>
      <w:r>
        <w:rPr>
          <w:rFonts w:hint="default"/>
          <w:lang w:val="en-US" w:eastAsia="zh-CN"/>
        </w:rPr>
        <w:t>（4）静电，包括液体流动产生的静电和人体静电；导除静电不良，发生静电放电。</w:t>
      </w:r>
    </w:p>
    <w:p w14:paraId="4B9018D5">
      <w:pPr>
        <w:rPr>
          <w:rFonts w:hint="default"/>
          <w:lang w:val="en-US" w:eastAsia="zh-CN"/>
        </w:rPr>
      </w:pPr>
      <w:r>
        <w:rPr>
          <w:rFonts w:hint="default"/>
          <w:lang w:val="en-US" w:eastAsia="zh-CN"/>
        </w:rPr>
        <w:t>（5）防雷系统失效，出现雷电火花。</w:t>
      </w:r>
    </w:p>
    <w:p w14:paraId="1789FDB9">
      <w:pPr>
        <w:rPr>
          <w:rFonts w:hint="default"/>
          <w:lang w:val="en-US" w:eastAsia="zh-CN"/>
        </w:rPr>
      </w:pPr>
      <w:r>
        <w:rPr>
          <w:rFonts w:hint="default"/>
          <w:lang w:val="en-US" w:eastAsia="zh-CN"/>
        </w:rPr>
        <w:t>（6）电缆、导线、其他电器设备接触不良发热升温；电缆、导线和其他电器设备过载、过流发热升温。</w:t>
      </w:r>
    </w:p>
    <w:p w14:paraId="535E0A71">
      <w:pPr>
        <w:rPr>
          <w:rFonts w:hint="default"/>
          <w:lang w:val="en-US" w:eastAsia="zh-CN"/>
        </w:rPr>
      </w:pPr>
      <w:r>
        <w:rPr>
          <w:rFonts w:hint="default"/>
          <w:lang w:val="en-US" w:eastAsia="zh-CN"/>
        </w:rPr>
        <w:t>（7）明火，如机动车辆排烟带火等。</w:t>
      </w:r>
    </w:p>
    <w:p w14:paraId="218FF27F">
      <w:pPr>
        <w:rPr>
          <w:rFonts w:hint="default"/>
          <w:lang w:val="en-US" w:eastAsia="zh-CN"/>
        </w:rPr>
      </w:pPr>
      <w:r>
        <w:rPr>
          <w:rFonts w:hint="default"/>
          <w:lang w:val="en-US" w:eastAsia="zh-CN"/>
        </w:rPr>
        <w:t>3</w:t>
      </w:r>
      <w:r>
        <w:rPr>
          <w:rFonts w:hint="eastAsia"/>
          <w:lang w:val="en-US" w:eastAsia="zh-CN"/>
        </w:rPr>
        <w:t xml:space="preserve">. </w:t>
      </w:r>
      <w:r>
        <w:rPr>
          <w:rFonts w:hint="default"/>
          <w:lang w:val="en-US" w:eastAsia="zh-CN"/>
        </w:rPr>
        <w:t>人的不安全行为</w:t>
      </w:r>
    </w:p>
    <w:p w14:paraId="192F83D9">
      <w:pPr>
        <w:rPr>
          <w:rFonts w:hint="default"/>
          <w:lang w:val="en-US" w:eastAsia="zh-CN"/>
        </w:rPr>
      </w:pPr>
      <w:r>
        <w:rPr>
          <w:rFonts w:hint="default"/>
          <w:lang w:val="en-US" w:eastAsia="zh-CN"/>
        </w:rPr>
        <w:t>（1）操作人员的违章作业，检修人员的违章行为。如违章用火动火，检修用的电焊、气焊、砂轮打磨、敲击、焚烧、清除杂物；外来人员违章带入火源，如吸烟、点打火机；手机、无线电话、对讲机等流散杂电能源发生火花等。</w:t>
      </w:r>
    </w:p>
    <w:p w14:paraId="50326FEF">
      <w:pPr>
        <w:rPr>
          <w:rFonts w:hint="default"/>
          <w:b/>
          <w:bCs/>
          <w:lang w:val="en-US" w:eastAsia="zh-CN"/>
        </w:rPr>
      </w:pPr>
      <w:r>
        <w:rPr>
          <w:rFonts w:hint="eastAsia"/>
          <w:b/>
          <w:bCs/>
          <w:lang w:val="en-US" w:eastAsia="zh-CN"/>
        </w:rPr>
        <w:t>二、</w:t>
      </w:r>
      <w:r>
        <w:rPr>
          <w:rFonts w:hint="default"/>
          <w:b/>
          <w:bCs/>
          <w:lang w:val="en-US" w:eastAsia="zh-CN"/>
        </w:rPr>
        <w:t>触电</w:t>
      </w:r>
    </w:p>
    <w:p w14:paraId="505B1893">
      <w:pPr>
        <w:rPr>
          <w:rFonts w:hint="default"/>
          <w:lang w:val="en-US" w:eastAsia="zh-CN"/>
        </w:rPr>
      </w:pPr>
      <w:r>
        <w:rPr>
          <w:rFonts w:hint="default"/>
          <w:lang w:val="en-US" w:eastAsia="zh-CN"/>
        </w:rPr>
        <w:t>主要包括触电和电弧灼伤。</w:t>
      </w:r>
    </w:p>
    <w:p w14:paraId="15B370FE">
      <w:pPr>
        <w:rPr>
          <w:rFonts w:hint="default"/>
          <w:lang w:val="en-US" w:eastAsia="zh-CN"/>
        </w:rPr>
      </w:pPr>
      <w:r>
        <w:rPr>
          <w:rFonts w:hint="eastAsia"/>
          <w:lang w:val="en-US" w:eastAsia="zh-CN"/>
        </w:rPr>
        <w:t>本</w:t>
      </w:r>
      <w:r>
        <w:rPr>
          <w:rFonts w:hint="default"/>
          <w:lang w:val="en-US" w:eastAsia="zh-CN"/>
        </w:rPr>
        <w:t>项目中有用电设备，人体接触高、低压电源会造成触电伤害，雷击也可能产生类似的后果。如果设备开关本体缺陷、设备保护接地失效或操作失误，个人思想麻痹，防护缺陷，操作高压开关不使用绝缘工具，或非专业人员违章操作等，易发生人员触电事故。而电气布线及用电设备容易产生绝缘性能降低，甚至外壳带电，特别在多雨、潮湿、高温季节可能造成人身触电事故。</w:t>
      </w:r>
    </w:p>
    <w:p w14:paraId="4E0D4707">
      <w:pPr>
        <w:rPr>
          <w:rFonts w:hint="default"/>
          <w:lang w:val="en-US" w:eastAsia="zh-CN"/>
        </w:rPr>
      </w:pPr>
      <w:r>
        <w:rPr>
          <w:rFonts w:hint="default"/>
          <w:lang w:val="en-US" w:eastAsia="zh-CN"/>
        </w:rPr>
        <w:t>电弧灼伤主要表现在违章操作如带负荷送电或停电，绝缘损坏或人为造成短路，引发电弧可能造成电灼伤事故。电焊作业亦会引起电弧灼伤事故。</w:t>
      </w:r>
    </w:p>
    <w:p w14:paraId="657D805A">
      <w:pPr>
        <w:rPr>
          <w:rFonts w:hint="default"/>
          <w:b/>
          <w:bCs/>
          <w:lang w:val="en-US" w:eastAsia="zh-CN"/>
        </w:rPr>
      </w:pPr>
      <w:r>
        <w:rPr>
          <w:rFonts w:hint="eastAsia"/>
          <w:b/>
          <w:bCs/>
          <w:lang w:val="en-US" w:eastAsia="zh-CN"/>
        </w:rPr>
        <w:t>三、</w:t>
      </w:r>
      <w:r>
        <w:rPr>
          <w:rFonts w:hint="default"/>
          <w:b/>
          <w:bCs/>
          <w:lang w:val="en-US" w:eastAsia="zh-CN"/>
        </w:rPr>
        <w:t>车辆伤害</w:t>
      </w:r>
    </w:p>
    <w:p w14:paraId="6E77D555">
      <w:pPr>
        <w:rPr>
          <w:rFonts w:hint="default"/>
          <w:lang w:val="en-US" w:eastAsia="zh-CN"/>
        </w:rPr>
      </w:pPr>
      <w:r>
        <w:rPr>
          <w:rFonts w:hint="default"/>
          <w:lang w:val="en-US" w:eastAsia="zh-CN"/>
        </w:rPr>
        <w:t>车辆伤害指企业机动车辆在行驶中引起的人体坠落和物体倒塌、飞落、挤压伤亡事故。</w:t>
      </w:r>
    </w:p>
    <w:p w14:paraId="0B2BA6ED">
      <w:pPr>
        <w:rPr>
          <w:rFonts w:hint="default"/>
          <w:lang w:val="en-US" w:eastAsia="zh-CN"/>
        </w:rPr>
      </w:pPr>
      <w:r>
        <w:rPr>
          <w:rFonts w:hint="default"/>
          <w:lang w:val="en-US" w:eastAsia="zh-CN"/>
        </w:rPr>
        <w:t>站内加注、卸料汽车来往频繁，有可能因道路缺陷、安全标志不明或缺失、车辆故障、车辆违章行驶、驾驶员思想麻痹、加油员引导失当等原因，引发车辆伤害事故。</w:t>
      </w:r>
    </w:p>
    <w:p w14:paraId="75B7316B">
      <w:pPr>
        <w:rPr>
          <w:rFonts w:hint="default"/>
          <w:b/>
          <w:bCs w:val="0"/>
          <w:lang w:val="en-US" w:eastAsia="zh-CN"/>
        </w:rPr>
      </w:pPr>
      <w:r>
        <w:rPr>
          <w:rFonts w:hint="eastAsia" w:ascii="黑体" w:hAnsi="黑体"/>
          <w:b/>
          <w:bCs w:val="0"/>
          <w:color w:val="auto"/>
          <w:lang w:val="en-US" w:eastAsia="zh-CN"/>
        </w:rPr>
        <w:t>四、</w:t>
      </w:r>
      <w:r>
        <w:rPr>
          <w:rFonts w:hint="eastAsia" w:ascii="黑体" w:hAnsi="黑体"/>
          <w:b/>
          <w:bCs w:val="0"/>
          <w:color w:val="auto"/>
        </w:rPr>
        <w:t>物体打击</w:t>
      </w:r>
    </w:p>
    <w:p w14:paraId="6E7DD0C9">
      <w:pPr>
        <w:rPr>
          <w:rFonts w:hint="default"/>
          <w:lang w:val="en-US" w:eastAsia="zh-CN"/>
        </w:rPr>
      </w:pPr>
      <w:r>
        <w:rPr>
          <w:rFonts w:hint="default"/>
          <w:lang w:val="en-US" w:eastAsia="zh-CN"/>
        </w:rPr>
        <w:t>物体打击指物体在外力或重力作用下，打击人体会造成人身伤害事故。</w:t>
      </w:r>
    </w:p>
    <w:p w14:paraId="077AA9D2">
      <w:pPr>
        <w:rPr>
          <w:rFonts w:hint="default"/>
          <w:lang w:val="en-US" w:eastAsia="zh-CN"/>
        </w:rPr>
      </w:pPr>
      <w:r>
        <w:rPr>
          <w:rFonts w:hint="default"/>
          <w:lang w:val="en-US" w:eastAsia="zh-CN"/>
        </w:rPr>
        <w:t>作业工具和材料使用放置不当，造成高处落物等，易发生物体打击事故。</w:t>
      </w:r>
    </w:p>
    <w:p w14:paraId="792EA4F0">
      <w:pPr>
        <w:rPr>
          <w:rFonts w:hint="default"/>
          <w:b/>
          <w:bCs/>
          <w:lang w:val="en-US" w:eastAsia="zh-CN"/>
        </w:rPr>
      </w:pPr>
      <w:r>
        <w:rPr>
          <w:rFonts w:hint="eastAsia"/>
          <w:b/>
          <w:bCs/>
          <w:lang w:val="en-US" w:eastAsia="zh-CN"/>
        </w:rPr>
        <w:t>五、</w:t>
      </w:r>
      <w:r>
        <w:rPr>
          <w:rFonts w:hint="default"/>
          <w:b/>
          <w:bCs/>
          <w:lang w:val="en-US" w:eastAsia="zh-CN"/>
        </w:rPr>
        <w:t>中毒和窒息</w:t>
      </w:r>
    </w:p>
    <w:p w14:paraId="2E9BBA6C">
      <w:pPr>
        <w:rPr>
          <w:rFonts w:hint="default"/>
          <w:lang w:val="en-US" w:eastAsia="zh-CN"/>
        </w:rPr>
      </w:pPr>
      <w:r>
        <w:rPr>
          <w:rFonts w:hint="default"/>
          <w:lang w:val="en-US" w:eastAsia="zh-CN"/>
        </w:rPr>
        <w:t>柴油的毒性及其对人体健康的危害主要包括对皮肤、呼吸系统和神经系统的影响。‌</w:t>
      </w:r>
    </w:p>
    <w:p w14:paraId="1506891F">
      <w:pPr>
        <w:rPr>
          <w:rFonts w:hint="default"/>
          <w:lang w:val="en-US" w:eastAsia="zh-CN"/>
        </w:rPr>
      </w:pPr>
      <w:r>
        <w:rPr>
          <w:rFonts w:hint="default"/>
          <w:lang w:val="en-US" w:eastAsia="zh-CN"/>
        </w:rPr>
        <w:t>（1）‌对皮肤的影响‌：柴油对皮肤具有较强的刺激性。长期接触柴油，尤其是在没有采取适当防护措施的情况下，容易导致皮肤发红、肿胀，甚至引发皮肤炎症。这是因为柴油中的化学成分能够破坏皮肤表层的保护屏障，进而造成皮肤损伤。</w:t>
      </w:r>
    </w:p>
    <w:p w14:paraId="4D86470E">
      <w:pPr>
        <w:rPr>
          <w:rFonts w:hint="default"/>
          <w:lang w:val="en-US" w:eastAsia="zh-CN"/>
        </w:rPr>
      </w:pPr>
      <w:r>
        <w:rPr>
          <w:rFonts w:hint="default"/>
          <w:lang w:val="en-US" w:eastAsia="zh-CN"/>
        </w:rPr>
        <w:t>（2）‌对呼吸系统的影响‌：柴油燃烧产生的废气中含有多种有害物质，如颗粒物、一氧化碳、氮氧化物等。这些物质被人体吸入后，会对呼吸道造成刺激和腐蚀，增加呼吸道疾病的风险，如支气管炎、哮喘等。此外，颗粒物还可以通过血液循环进入身体内部，影响心血管系统健康，导致高血压、心脏病等。</w:t>
      </w:r>
    </w:p>
    <w:p w14:paraId="66DBC8FE">
      <w:pPr>
        <w:rPr>
          <w:rFonts w:hint="default"/>
          <w:lang w:val="en-US" w:eastAsia="zh-CN"/>
        </w:rPr>
      </w:pPr>
      <w:r>
        <w:rPr>
          <w:rFonts w:hint="default"/>
          <w:lang w:val="en-US" w:eastAsia="zh-CN"/>
        </w:rPr>
        <w:t>（3）‌对神经系统的影响‌：长期暴露于柴油环境中可能对神经系统产生不良影响。柴油中有些成分具有神经毒性，能够通过血液循环进入大脑，影响神经递质的正常传递，从而导致头晕、头痛、记忆力减退等症状。‌</w:t>
      </w:r>
    </w:p>
    <w:p w14:paraId="7BDBD7D7">
      <w:pPr>
        <w:rPr>
          <w:rFonts w:hint="default"/>
          <w:lang w:val="en-US" w:eastAsia="zh-CN"/>
        </w:rPr>
      </w:pPr>
      <w:r>
        <w:rPr>
          <w:rFonts w:hint="default"/>
          <w:lang w:val="en-US" w:eastAsia="zh-CN"/>
        </w:rPr>
        <w:t>在加注过程中，人体防护不可能做到全封闭，不可避免会接触到燃料，吸入油蒸气引起急、慢性中毒及职业病。</w:t>
      </w:r>
    </w:p>
    <w:p w14:paraId="1AD55C26">
      <w:pPr>
        <w:rPr>
          <w:rFonts w:hint="default"/>
          <w:lang w:val="en-US" w:eastAsia="zh-CN"/>
        </w:rPr>
      </w:pPr>
      <w:r>
        <w:rPr>
          <w:rFonts w:hint="default"/>
          <w:lang w:val="en-US" w:eastAsia="zh-CN"/>
        </w:rPr>
        <w:t>（4）储罐清洗作业时，未按有限空间作业操作规范进行作业，引起中毒和窒息。</w:t>
      </w:r>
    </w:p>
    <w:p w14:paraId="0A8061E2">
      <w:pPr>
        <w:rPr>
          <w:rFonts w:hint="default"/>
          <w:b/>
          <w:bCs/>
          <w:lang w:val="en-US" w:eastAsia="zh-CN"/>
        </w:rPr>
      </w:pPr>
      <w:r>
        <w:rPr>
          <w:rFonts w:hint="eastAsia"/>
          <w:b/>
          <w:bCs/>
          <w:lang w:val="en-US" w:eastAsia="zh-CN"/>
        </w:rPr>
        <w:t>六、</w:t>
      </w:r>
      <w:r>
        <w:rPr>
          <w:rFonts w:hint="default"/>
          <w:b/>
          <w:bCs/>
          <w:lang w:val="en-US" w:eastAsia="zh-CN"/>
        </w:rPr>
        <w:t>机械伤害</w:t>
      </w:r>
    </w:p>
    <w:p w14:paraId="7D45BD19">
      <w:pPr>
        <w:rPr>
          <w:rFonts w:hint="default"/>
          <w:lang w:val="en-US" w:eastAsia="zh-CN"/>
        </w:rPr>
      </w:pPr>
      <w:r>
        <w:rPr>
          <w:rFonts w:hint="default"/>
          <w:lang w:val="en-US" w:eastAsia="zh-CN"/>
        </w:rPr>
        <w:t>机械伤害是指机械做出强大的功能作用于人体的伤害。在生产过程中，如加油机使用泵的传动轴等设备的传动部件、转动轴等部位，这些设备在生产过程中频繁使用，作业人员在检修、巡查或操作过程中均造成意外伤害。造成机械伤害事故，主要是由于设备制造质量不符合设计要求或设计上本身就存在缺陷，设备的安全防护装置没有或损坏，人为的违章指挥，违章操作及对机械设备的故障不及时维修，设备在非正常状态下工作等造成的。常见的因素有：</w:t>
      </w:r>
    </w:p>
    <w:p w14:paraId="05838193">
      <w:pPr>
        <w:rPr>
          <w:rFonts w:hint="default"/>
          <w:lang w:val="en-US" w:eastAsia="zh-CN"/>
        </w:rPr>
      </w:pPr>
      <w:r>
        <w:rPr>
          <w:rFonts w:hint="default"/>
          <w:lang w:val="en-US" w:eastAsia="zh-CN"/>
        </w:rPr>
        <w:t>1</w:t>
      </w:r>
      <w:r>
        <w:rPr>
          <w:rFonts w:hint="eastAsia"/>
          <w:lang w:val="en-US" w:eastAsia="zh-CN"/>
        </w:rPr>
        <w:t xml:space="preserve">. </w:t>
      </w:r>
      <w:r>
        <w:rPr>
          <w:rFonts w:hint="default"/>
          <w:lang w:val="en-US" w:eastAsia="zh-CN"/>
        </w:rPr>
        <w:t>违章操作，导致事故发生；</w:t>
      </w:r>
    </w:p>
    <w:p w14:paraId="715F5EE0">
      <w:pPr>
        <w:rPr>
          <w:rFonts w:hint="default"/>
          <w:lang w:val="en-US" w:eastAsia="zh-CN"/>
        </w:rPr>
      </w:pPr>
      <w:r>
        <w:rPr>
          <w:rFonts w:hint="default"/>
          <w:lang w:val="en-US" w:eastAsia="zh-CN"/>
        </w:rPr>
        <w:t>2</w:t>
      </w:r>
      <w:r>
        <w:rPr>
          <w:rFonts w:hint="eastAsia"/>
          <w:lang w:val="en-US" w:eastAsia="zh-CN"/>
        </w:rPr>
        <w:t xml:space="preserve">. </w:t>
      </w:r>
      <w:r>
        <w:rPr>
          <w:rFonts w:hint="default"/>
          <w:lang w:val="en-US" w:eastAsia="zh-CN"/>
        </w:rPr>
        <w:t>机械设备安全防护装置缺乏或损坏、被拆除等，导致事故发生；</w:t>
      </w:r>
    </w:p>
    <w:p w14:paraId="6528A9E6">
      <w:pPr>
        <w:rPr>
          <w:rFonts w:hint="default"/>
          <w:lang w:val="en-US" w:eastAsia="zh-CN"/>
        </w:rPr>
      </w:pPr>
      <w:r>
        <w:rPr>
          <w:rFonts w:hint="default"/>
          <w:lang w:val="en-US" w:eastAsia="zh-CN"/>
        </w:rPr>
        <w:t>3</w:t>
      </w:r>
      <w:r>
        <w:rPr>
          <w:rFonts w:hint="eastAsia"/>
          <w:lang w:val="en-US" w:eastAsia="zh-CN"/>
        </w:rPr>
        <w:t xml:space="preserve">. </w:t>
      </w:r>
      <w:r>
        <w:rPr>
          <w:rFonts w:hint="default"/>
          <w:lang w:val="en-US" w:eastAsia="zh-CN"/>
        </w:rPr>
        <w:t>操作人员疏忽大意，身体进入机械危险部位，导致事故发生；</w:t>
      </w:r>
    </w:p>
    <w:p w14:paraId="50F5B1C0">
      <w:pPr>
        <w:rPr>
          <w:rFonts w:hint="default"/>
          <w:lang w:val="en-US" w:eastAsia="zh-CN"/>
        </w:rPr>
      </w:pPr>
      <w:r>
        <w:rPr>
          <w:rFonts w:hint="default"/>
          <w:lang w:val="en-US" w:eastAsia="zh-CN"/>
        </w:rPr>
        <w:t>4</w:t>
      </w:r>
      <w:r>
        <w:rPr>
          <w:rFonts w:hint="eastAsia"/>
          <w:lang w:val="en-US" w:eastAsia="zh-CN"/>
        </w:rPr>
        <w:t xml:space="preserve">. </w:t>
      </w:r>
      <w:r>
        <w:rPr>
          <w:rFonts w:hint="default"/>
          <w:lang w:val="en-US" w:eastAsia="zh-CN"/>
        </w:rPr>
        <w:t>在检修和正常工作时，机器突然被别人随意启动，导致事故发生；</w:t>
      </w:r>
    </w:p>
    <w:p w14:paraId="70DD8183">
      <w:pPr>
        <w:rPr>
          <w:rFonts w:hint="default"/>
          <w:lang w:val="en-US" w:eastAsia="zh-CN"/>
        </w:rPr>
      </w:pPr>
      <w:r>
        <w:rPr>
          <w:rFonts w:hint="default"/>
          <w:lang w:val="en-US" w:eastAsia="zh-CN"/>
        </w:rPr>
        <w:t>5</w:t>
      </w:r>
      <w:r>
        <w:rPr>
          <w:rFonts w:hint="eastAsia"/>
          <w:lang w:val="en-US" w:eastAsia="zh-CN"/>
        </w:rPr>
        <w:t xml:space="preserve">. </w:t>
      </w:r>
      <w:r>
        <w:rPr>
          <w:rFonts w:hint="default"/>
          <w:lang w:val="en-US" w:eastAsia="zh-CN"/>
        </w:rPr>
        <w:t>在不安全的机械上停留、休息，设备突然运转时，导致事故发生；</w:t>
      </w:r>
    </w:p>
    <w:p w14:paraId="54938128">
      <w:pPr>
        <w:rPr>
          <w:rFonts w:hint="default"/>
          <w:lang w:val="en-US" w:eastAsia="zh-CN"/>
        </w:rPr>
      </w:pPr>
      <w:r>
        <w:rPr>
          <w:rFonts w:hint="default"/>
          <w:lang w:val="en-US" w:eastAsia="zh-CN"/>
        </w:rPr>
        <w:t>6</w:t>
      </w:r>
      <w:r>
        <w:rPr>
          <w:rFonts w:hint="eastAsia"/>
          <w:lang w:val="en-US" w:eastAsia="zh-CN"/>
        </w:rPr>
        <w:t xml:space="preserve">. </w:t>
      </w:r>
      <w:r>
        <w:rPr>
          <w:rFonts w:hint="default"/>
          <w:lang w:val="en-US" w:eastAsia="zh-CN"/>
        </w:rPr>
        <w:t>机械设备有故障不及时排除，设备带有故障运行，导致事故发生；</w:t>
      </w:r>
    </w:p>
    <w:p w14:paraId="7F3C498A">
      <w:pPr>
        <w:rPr>
          <w:rFonts w:hint="default"/>
          <w:lang w:val="en-US" w:eastAsia="zh-CN"/>
        </w:rPr>
      </w:pPr>
      <w:r>
        <w:rPr>
          <w:rFonts w:hint="default"/>
          <w:lang w:val="en-US" w:eastAsia="zh-CN"/>
        </w:rPr>
        <w:t>7</w:t>
      </w:r>
      <w:r>
        <w:rPr>
          <w:rFonts w:hint="eastAsia"/>
          <w:lang w:val="en-US" w:eastAsia="zh-CN"/>
        </w:rPr>
        <w:t xml:space="preserve">. </w:t>
      </w:r>
      <w:r>
        <w:rPr>
          <w:rFonts w:hint="default"/>
          <w:lang w:val="en-US" w:eastAsia="zh-CN"/>
        </w:rPr>
        <w:t>机械设备制造质量不合格或设计上本身就存在缺陷，设备运行中导致事故发生；</w:t>
      </w:r>
    </w:p>
    <w:p w14:paraId="6502D10C">
      <w:pPr>
        <w:rPr>
          <w:rFonts w:hint="default"/>
          <w:b w:val="0"/>
          <w:bCs w:val="0"/>
          <w:color w:val="0000FF"/>
          <w:lang w:val="en-US" w:eastAsia="zh-CN"/>
        </w:rPr>
      </w:pPr>
      <w:r>
        <w:rPr>
          <w:rFonts w:hint="default"/>
          <w:lang w:val="en-US" w:eastAsia="zh-CN"/>
        </w:rPr>
        <w:t>8</w:t>
      </w:r>
      <w:r>
        <w:rPr>
          <w:rFonts w:hint="eastAsia"/>
          <w:lang w:val="en-US" w:eastAsia="zh-CN"/>
        </w:rPr>
        <w:t xml:space="preserve">. </w:t>
      </w:r>
      <w:r>
        <w:rPr>
          <w:rFonts w:hint="default"/>
          <w:lang w:val="en-US" w:eastAsia="zh-CN"/>
        </w:rPr>
        <w:t>设备控制系统失灵，造成设备误动作，导致事故发生。</w:t>
      </w:r>
    </w:p>
    <w:p w14:paraId="29454B4F">
      <w:pPr>
        <w:rPr>
          <w:rFonts w:hint="default"/>
          <w:b/>
          <w:bCs/>
          <w:lang w:val="en-US" w:eastAsia="zh-CN"/>
        </w:rPr>
      </w:pPr>
      <w:r>
        <w:rPr>
          <w:rFonts w:hint="eastAsia"/>
          <w:b/>
          <w:bCs/>
          <w:lang w:val="en-US" w:eastAsia="zh-CN"/>
        </w:rPr>
        <w:t>七、</w:t>
      </w:r>
      <w:r>
        <w:rPr>
          <w:rFonts w:hint="default"/>
          <w:b/>
          <w:bCs/>
          <w:lang w:val="en-US" w:eastAsia="zh-CN"/>
        </w:rPr>
        <w:t>坍塌</w:t>
      </w:r>
    </w:p>
    <w:p w14:paraId="34FCFBA2">
      <w:pPr>
        <w:rPr>
          <w:rFonts w:hint="default"/>
          <w:b w:val="0"/>
          <w:bCs w:val="0"/>
          <w:color w:val="auto"/>
          <w:lang w:val="en-US" w:eastAsia="zh-CN"/>
        </w:rPr>
      </w:pPr>
      <w:r>
        <w:rPr>
          <w:rFonts w:hint="default"/>
          <w:b w:val="0"/>
          <w:bCs w:val="0"/>
          <w:color w:val="auto"/>
          <w:lang w:val="en-US" w:eastAsia="zh-CN"/>
        </w:rPr>
        <w:t>因雨雪、刮风、意外坍塌时，可能造成现场加油工、巡检人员伤亡。</w:t>
      </w:r>
    </w:p>
    <w:p w14:paraId="5B3C2807">
      <w:pPr>
        <w:pStyle w:val="4"/>
        <w:bidi w:val="0"/>
        <w:rPr>
          <w:rFonts w:hint="default"/>
          <w:lang w:val="en-US" w:eastAsia="zh-CN"/>
        </w:rPr>
      </w:pPr>
      <w:bookmarkStart w:id="48" w:name="_Toc7649"/>
      <w:r>
        <w:rPr>
          <w:rFonts w:hint="default"/>
          <w:lang w:val="en-US" w:eastAsia="zh-CN"/>
        </w:rPr>
        <w:t>3.3.2 主要有害因素辨识</w:t>
      </w:r>
      <w:bookmarkEnd w:id="48"/>
    </w:p>
    <w:p w14:paraId="63B8FB95">
      <w:pPr>
        <w:rPr>
          <w:rFonts w:hint="default"/>
          <w:b/>
          <w:bCs/>
          <w:lang w:val="en-US" w:eastAsia="zh-CN"/>
        </w:rPr>
      </w:pPr>
      <w:r>
        <w:rPr>
          <w:rFonts w:hint="eastAsia"/>
          <w:b/>
          <w:bCs/>
          <w:lang w:val="en-US" w:eastAsia="zh-CN"/>
        </w:rPr>
        <w:t>一、</w:t>
      </w:r>
      <w:r>
        <w:rPr>
          <w:rFonts w:hint="default"/>
          <w:b/>
          <w:bCs/>
          <w:lang w:val="en-US" w:eastAsia="zh-CN"/>
        </w:rPr>
        <w:t>有害物质</w:t>
      </w:r>
    </w:p>
    <w:p w14:paraId="44C7AEEB">
      <w:pPr>
        <w:rPr>
          <w:rFonts w:hint="default"/>
          <w:lang w:val="en-US" w:eastAsia="zh-CN"/>
        </w:rPr>
      </w:pPr>
      <w:r>
        <w:rPr>
          <w:rFonts w:hint="default"/>
          <w:lang w:val="en-US" w:eastAsia="zh-CN"/>
        </w:rPr>
        <w:t>经营、储存的柴油危险化学品物质即使在正常的生产过程中也会有微量的泄漏，长期低浓度接触这些物质可能对人体造成不良影响，可能导致神经衰弱综合征、皮肤过敏、损害。</w:t>
      </w:r>
    </w:p>
    <w:p w14:paraId="19420775">
      <w:pPr>
        <w:rPr>
          <w:rFonts w:hint="default"/>
          <w:b/>
          <w:bCs/>
          <w:lang w:val="en-US" w:eastAsia="zh-CN"/>
        </w:rPr>
      </w:pPr>
      <w:r>
        <w:rPr>
          <w:rFonts w:hint="eastAsia"/>
          <w:b/>
          <w:bCs/>
          <w:lang w:val="en-US" w:eastAsia="zh-CN"/>
        </w:rPr>
        <w:t>二、</w:t>
      </w:r>
      <w:r>
        <w:rPr>
          <w:rFonts w:hint="default"/>
          <w:b/>
          <w:bCs/>
          <w:lang w:val="en-US" w:eastAsia="zh-CN"/>
        </w:rPr>
        <w:t>噪声</w:t>
      </w:r>
    </w:p>
    <w:p w14:paraId="25F972C3">
      <w:pPr>
        <w:rPr>
          <w:rFonts w:hint="default"/>
          <w:lang w:val="en-US" w:eastAsia="zh-CN"/>
        </w:rPr>
      </w:pPr>
      <w:r>
        <w:rPr>
          <w:rFonts w:hint="default"/>
          <w:lang w:val="en-US" w:eastAsia="zh-CN"/>
        </w:rPr>
        <w:t>加注站经营中的噪声一般来自于大型车辆的启动、运行的噪声。</w:t>
      </w:r>
    </w:p>
    <w:p w14:paraId="719C02FE">
      <w:pPr>
        <w:rPr>
          <w:rFonts w:hint="default"/>
          <w:lang w:val="en-US" w:eastAsia="zh-CN"/>
        </w:rPr>
      </w:pPr>
      <w:r>
        <w:rPr>
          <w:rFonts w:hint="default"/>
          <w:lang w:val="en-US" w:eastAsia="zh-CN"/>
        </w:rPr>
        <w:t>此外机械运转部件发生故障也会产生较大的机械噪声。</w:t>
      </w:r>
    </w:p>
    <w:p w14:paraId="41826515">
      <w:pPr>
        <w:rPr>
          <w:rFonts w:hint="default"/>
          <w:lang w:val="en-US" w:eastAsia="zh-CN"/>
        </w:rPr>
      </w:pPr>
      <w:r>
        <w:rPr>
          <w:rFonts w:hint="default"/>
          <w:lang w:val="en-US" w:eastAsia="zh-CN"/>
        </w:rPr>
        <w:t>综上分析，</w:t>
      </w:r>
      <w:r>
        <w:rPr>
          <w:rFonts w:hint="eastAsia"/>
          <w:lang w:val="en-US" w:eastAsia="zh-CN"/>
        </w:rPr>
        <w:t>本</w:t>
      </w:r>
      <w:r>
        <w:rPr>
          <w:rFonts w:hint="default"/>
          <w:lang w:val="en-US" w:eastAsia="zh-CN"/>
        </w:rPr>
        <w:t>项目在生产中存在的主要危险、有害因素有：火灾、爆炸</w:t>
      </w:r>
      <w:r>
        <w:rPr>
          <w:rFonts w:hint="eastAsia"/>
          <w:lang w:val="en-US" w:eastAsia="zh-CN"/>
        </w:rPr>
        <w:t>；</w:t>
      </w:r>
      <w:r>
        <w:rPr>
          <w:rFonts w:hint="default"/>
          <w:lang w:val="en-US" w:eastAsia="zh-CN"/>
        </w:rPr>
        <w:t>触电</w:t>
      </w:r>
      <w:r>
        <w:rPr>
          <w:rFonts w:hint="eastAsia"/>
          <w:lang w:val="en-US" w:eastAsia="zh-CN"/>
        </w:rPr>
        <w:t>；车辆伤害；</w:t>
      </w:r>
      <w:r>
        <w:rPr>
          <w:rFonts w:hint="default"/>
          <w:lang w:val="en-US" w:eastAsia="zh-CN"/>
        </w:rPr>
        <w:t>物体打击</w:t>
      </w:r>
      <w:r>
        <w:rPr>
          <w:rFonts w:hint="eastAsia"/>
          <w:lang w:val="en-US" w:eastAsia="zh-CN"/>
        </w:rPr>
        <w:t>；中毒与</w:t>
      </w:r>
      <w:r>
        <w:rPr>
          <w:rFonts w:hint="default"/>
          <w:lang w:val="en-US" w:eastAsia="zh-CN"/>
        </w:rPr>
        <w:t>窒息</w:t>
      </w:r>
      <w:r>
        <w:rPr>
          <w:rFonts w:hint="eastAsia"/>
          <w:lang w:val="en-US" w:eastAsia="zh-CN"/>
        </w:rPr>
        <w:t>；机械伤害；坍塌；有害物质；噪声</w:t>
      </w:r>
      <w:r>
        <w:rPr>
          <w:rFonts w:hint="default"/>
          <w:lang w:val="en-US" w:eastAsia="zh-CN"/>
        </w:rPr>
        <w:t>等。其主要分布情况如表3.</w:t>
      </w:r>
      <w:r>
        <w:rPr>
          <w:rFonts w:hint="eastAsia"/>
          <w:lang w:val="en-US" w:eastAsia="zh-CN"/>
        </w:rPr>
        <w:t>3</w:t>
      </w:r>
      <w:r>
        <w:rPr>
          <w:rFonts w:hint="default"/>
          <w:lang w:val="en-US" w:eastAsia="zh-CN"/>
        </w:rPr>
        <w:t>-1所示。</w:t>
      </w:r>
    </w:p>
    <w:p w14:paraId="74223AB4">
      <w:pPr>
        <w:ind w:left="0" w:leftChars="0" w:firstLine="0" w:firstLineChars="0"/>
        <w:jc w:val="center"/>
        <w:rPr>
          <w:rFonts w:hint="default"/>
          <w:lang w:val="en-US" w:eastAsia="zh-CN"/>
        </w:rPr>
      </w:pPr>
      <w:r>
        <w:rPr>
          <w:rFonts w:hint="default"/>
          <w:lang w:val="en-US" w:eastAsia="zh-CN"/>
        </w:rPr>
        <w:t>表3.3-1 主要危险、有害因素分布表</w:t>
      </w:r>
    </w:p>
    <w:tbl>
      <w:tblPr>
        <w:tblStyle w:val="20"/>
        <w:tblW w:w="5003"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051"/>
        <w:gridCol w:w="1982"/>
        <w:gridCol w:w="3084"/>
        <w:gridCol w:w="2970"/>
      </w:tblGrid>
      <w:tr w14:paraId="6A2B76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78" w:type="pct"/>
            <w:noWrap w:val="0"/>
            <w:vAlign w:val="center"/>
          </w:tcPr>
          <w:p w14:paraId="7B28BCFE">
            <w:pPr>
              <w:pStyle w:val="45"/>
              <w:bidi w:val="0"/>
              <w:jc w:val="center"/>
              <w:rPr>
                <w:b/>
                <w:bCs w:val="0"/>
              </w:rPr>
            </w:pPr>
            <w:r>
              <w:rPr>
                <w:b/>
                <w:bCs w:val="0"/>
              </w:rPr>
              <w:t>序号</w:t>
            </w:r>
          </w:p>
        </w:tc>
        <w:tc>
          <w:tcPr>
            <w:tcW w:w="1090" w:type="pct"/>
            <w:noWrap w:val="0"/>
            <w:vAlign w:val="center"/>
          </w:tcPr>
          <w:p w14:paraId="04F1D0AF">
            <w:pPr>
              <w:pStyle w:val="45"/>
              <w:bidi w:val="0"/>
              <w:jc w:val="center"/>
              <w:rPr>
                <w:b/>
                <w:bCs w:val="0"/>
              </w:rPr>
            </w:pPr>
            <w:r>
              <w:rPr>
                <w:b/>
                <w:bCs w:val="0"/>
              </w:rPr>
              <w:t>危险危害因素</w:t>
            </w:r>
          </w:p>
        </w:tc>
        <w:tc>
          <w:tcPr>
            <w:tcW w:w="1696" w:type="pct"/>
            <w:noWrap w:val="0"/>
            <w:vAlign w:val="center"/>
          </w:tcPr>
          <w:p w14:paraId="506C6AF0">
            <w:pPr>
              <w:pStyle w:val="45"/>
              <w:bidi w:val="0"/>
              <w:jc w:val="center"/>
              <w:rPr>
                <w:b/>
                <w:bCs w:val="0"/>
              </w:rPr>
            </w:pPr>
            <w:r>
              <w:rPr>
                <w:b/>
                <w:bCs w:val="0"/>
              </w:rPr>
              <w:t>造成后果</w:t>
            </w:r>
          </w:p>
        </w:tc>
        <w:tc>
          <w:tcPr>
            <w:tcW w:w="1633" w:type="pct"/>
            <w:noWrap w:val="0"/>
            <w:vAlign w:val="center"/>
          </w:tcPr>
          <w:p w14:paraId="0A58E3AA">
            <w:pPr>
              <w:pStyle w:val="45"/>
              <w:bidi w:val="0"/>
              <w:jc w:val="center"/>
              <w:rPr>
                <w:b/>
                <w:bCs w:val="0"/>
              </w:rPr>
            </w:pPr>
            <w:r>
              <w:rPr>
                <w:b/>
                <w:bCs w:val="0"/>
              </w:rPr>
              <w:t>所在部位</w:t>
            </w:r>
          </w:p>
        </w:tc>
      </w:tr>
      <w:tr w14:paraId="624A5A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78" w:type="pct"/>
            <w:noWrap w:val="0"/>
            <w:vAlign w:val="center"/>
          </w:tcPr>
          <w:p w14:paraId="5F3E0241">
            <w:pPr>
              <w:pStyle w:val="45"/>
              <w:bidi w:val="0"/>
              <w:jc w:val="center"/>
            </w:pPr>
            <w:r>
              <w:t>1</w:t>
            </w:r>
          </w:p>
        </w:tc>
        <w:tc>
          <w:tcPr>
            <w:tcW w:w="1090" w:type="pct"/>
            <w:noWrap w:val="0"/>
            <w:vAlign w:val="center"/>
          </w:tcPr>
          <w:p w14:paraId="3BFC7090">
            <w:pPr>
              <w:pStyle w:val="45"/>
              <w:bidi w:val="0"/>
              <w:jc w:val="center"/>
            </w:pPr>
            <w:r>
              <w:t>火灾、爆炸</w:t>
            </w:r>
          </w:p>
        </w:tc>
        <w:tc>
          <w:tcPr>
            <w:tcW w:w="1696" w:type="pct"/>
            <w:noWrap w:val="0"/>
            <w:vAlign w:val="center"/>
          </w:tcPr>
          <w:p w14:paraId="24ABD915">
            <w:pPr>
              <w:pStyle w:val="45"/>
              <w:bidi w:val="0"/>
              <w:jc w:val="center"/>
            </w:pPr>
            <w:r>
              <w:t>人员伤亡、财产损失</w:t>
            </w:r>
          </w:p>
        </w:tc>
        <w:tc>
          <w:tcPr>
            <w:tcW w:w="1633" w:type="pct"/>
            <w:noWrap w:val="0"/>
            <w:vAlign w:val="center"/>
          </w:tcPr>
          <w:p w14:paraId="6DA78917">
            <w:pPr>
              <w:pStyle w:val="45"/>
              <w:bidi w:val="0"/>
              <w:jc w:val="center"/>
            </w:pPr>
            <w:r>
              <w:t>油罐，加油机</w:t>
            </w:r>
          </w:p>
        </w:tc>
      </w:tr>
      <w:tr w14:paraId="7EE79C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78" w:type="pct"/>
            <w:noWrap w:val="0"/>
            <w:vAlign w:val="center"/>
          </w:tcPr>
          <w:p w14:paraId="7336B1BC">
            <w:pPr>
              <w:pStyle w:val="45"/>
              <w:bidi w:val="0"/>
              <w:jc w:val="center"/>
            </w:pPr>
            <w:r>
              <w:t>2</w:t>
            </w:r>
          </w:p>
        </w:tc>
        <w:tc>
          <w:tcPr>
            <w:tcW w:w="1090" w:type="pct"/>
            <w:noWrap w:val="0"/>
            <w:vAlign w:val="center"/>
          </w:tcPr>
          <w:p w14:paraId="190C3E81">
            <w:pPr>
              <w:pStyle w:val="45"/>
              <w:bidi w:val="0"/>
              <w:jc w:val="center"/>
            </w:pPr>
            <w:r>
              <w:t>触电</w:t>
            </w:r>
          </w:p>
        </w:tc>
        <w:tc>
          <w:tcPr>
            <w:tcW w:w="1696" w:type="pct"/>
            <w:noWrap w:val="0"/>
            <w:vAlign w:val="center"/>
          </w:tcPr>
          <w:p w14:paraId="59045165">
            <w:pPr>
              <w:pStyle w:val="45"/>
              <w:bidi w:val="0"/>
              <w:jc w:val="center"/>
            </w:pPr>
            <w:r>
              <w:t>人员伤亡</w:t>
            </w:r>
          </w:p>
        </w:tc>
        <w:tc>
          <w:tcPr>
            <w:tcW w:w="1633" w:type="pct"/>
            <w:noWrap w:val="0"/>
            <w:vAlign w:val="center"/>
          </w:tcPr>
          <w:p w14:paraId="3CB61B36">
            <w:pPr>
              <w:pStyle w:val="45"/>
              <w:bidi w:val="0"/>
              <w:jc w:val="center"/>
            </w:pPr>
            <w:r>
              <w:t>配电设备</w:t>
            </w:r>
          </w:p>
        </w:tc>
      </w:tr>
      <w:tr w14:paraId="3CB19B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78" w:type="pct"/>
            <w:noWrap w:val="0"/>
            <w:vAlign w:val="center"/>
          </w:tcPr>
          <w:p w14:paraId="22610436">
            <w:pPr>
              <w:pStyle w:val="45"/>
              <w:bidi w:val="0"/>
              <w:jc w:val="center"/>
            </w:pPr>
            <w:r>
              <w:t>3</w:t>
            </w:r>
          </w:p>
        </w:tc>
        <w:tc>
          <w:tcPr>
            <w:tcW w:w="1090" w:type="pct"/>
            <w:noWrap w:val="0"/>
            <w:vAlign w:val="center"/>
          </w:tcPr>
          <w:p w14:paraId="58EFBFDD">
            <w:pPr>
              <w:pStyle w:val="45"/>
              <w:bidi w:val="0"/>
              <w:jc w:val="center"/>
            </w:pPr>
            <w:r>
              <w:t>车辆伤害</w:t>
            </w:r>
          </w:p>
        </w:tc>
        <w:tc>
          <w:tcPr>
            <w:tcW w:w="1696" w:type="pct"/>
            <w:noWrap w:val="0"/>
            <w:vAlign w:val="center"/>
          </w:tcPr>
          <w:p w14:paraId="4F40BCA8">
            <w:pPr>
              <w:pStyle w:val="45"/>
              <w:bidi w:val="0"/>
              <w:jc w:val="center"/>
            </w:pPr>
            <w:r>
              <w:t>人员伤亡或设备损坏</w:t>
            </w:r>
          </w:p>
        </w:tc>
        <w:tc>
          <w:tcPr>
            <w:tcW w:w="1633" w:type="pct"/>
            <w:noWrap w:val="0"/>
            <w:vAlign w:val="center"/>
          </w:tcPr>
          <w:p w14:paraId="3D65FC0D">
            <w:pPr>
              <w:pStyle w:val="45"/>
              <w:bidi w:val="0"/>
              <w:jc w:val="center"/>
            </w:pPr>
            <w:r>
              <w:t>加油装置场内</w:t>
            </w:r>
          </w:p>
        </w:tc>
      </w:tr>
      <w:tr w14:paraId="638834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78" w:type="pct"/>
            <w:noWrap w:val="0"/>
            <w:vAlign w:val="center"/>
          </w:tcPr>
          <w:p w14:paraId="525097B5">
            <w:pPr>
              <w:pStyle w:val="45"/>
              <w:bidi w:val="0"/>
              <w:jc w:val="center"/>
            </w:pPr>
            <w:r>
              <w:t>4</w:t>
            </w:r>
          </w:p>
        </w:tc>
        <w:tc>
          <w:tcPr>
            <w:tcW w:w="1090" w:type="pct"/>
            <w:noWrap w:val="0"/>
            <w:vAlign w:val="center"/>
          </w:tcPr>
          <w:p w14:paraId="0E7982FB">
            <w:pPr>
              <w:pStyle w:val="45"/>
              <w:bidi w:val="0"/>
              <w:ind w:left="0" w:leftChars="0" w:firstLine="0" w:firstLineChars="0"/>
              <w:jc w:val="center"/>
            </w:pPr>
            <w:r>
              <w:t>物体打击</w:t>
            </w:r>
          </w:p>
        </w:tc>
        <w:tc>
          <w:tcPr>
            <w:tcW w:w="1696" w:type="pct"/>
            <w:noWrap w:val="0"/>
            <w:vAlign w:val="center"/>
          </w:tcPr>
          <w:p w14:paraId="68D13BB3">
            <w:pPr>
              <w:pStyle w:val="45"/>
              <w:bidi w:val="0"/>
              <w:ind w:left="0" w:leftChars="0" w:firstLine="0" w:firstLineChars="0"/>
              <w:jc w:val="center"/>
            </w:pPr>
            <w:r>
              <w:t>人员伤害或引起二次事故</w:t>
            </w:r>
          </w:p>
        </w:tc>
        <w:tc>
          <w:tcPr>
            <w:tcW w:w="1633" w:type="pct"/>
            <w:noWrap w:val="0"/>
            <w:vAlign w:val="center"/>
          </w:tcPr>
          <w:p w14:paraId="12777325">
            <w:pPr>
              <w:pStyle w:val="45"/>
              <w:bidi w:val="0"/>
              <w:ind w:left="0" w:leftChars="0" w:firstLine="0" w:firstLineChars="0"/>
              <w:jc w:val="center"/>
            </w:pPr>
            <w:r>
              <w:t>使用、维修场所</w:t>
            </w:r>
          </w:p>
        </w:tc>
      </w:tr>
      <w:tr w14:paraId="639501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78" w:type="pct"/>
            <w:noWrap w:val="0"/>
            <w:vAlign w:val="center"/>
          </w:tcPr>
          <w:p w14:paraId="737621D7">
            <w:pPr>
              <w:pStyle w:val="45"/>
              <w:bidi w:val="0"/>
              <w:jc w:val="center"/>
            </w:pPr>
            <w:r>
              <w:t>5</w:t>
            </w:r>
          </w:p>
        </w:tc>
        <w:tc>
          <w:tcPr>
            <w:tcW w:w="1090" w:type="pct"/>
            <w:noWrap w:val="0"/>
            <w:vAlign w:val="center"/>
          </w:tcPr>
          <w:p w14:paraId="6D0DB6EA">
            <w:pPr>
              <w:pStyle w:val="45"/>
              <w:bidi w:val="0"/>
              <w:ind w:left="0" w:leftChars="0" w:firstLine="0" w:firstLineChars="0"/>
              <w:jc w:val="center"/>
            </w:pPr>
            <w:r>
              <w:t>中毒和窒息</w:t>
            </w:r>
          </w:p>
        </w:tc>
        <w:tc>
          <w:tcPr>
            <w:tcW w:w="1696" w:type="pct"/>
            <w:noWrap w:val="0"/>
            <w:vAlign w:val="center"/>
          </w:tcPr>
          <w:p w14:paraId="33383FE1">
            <w:pPr>
              <w:pStyle w:val="45"/>
              <w:bidi w:val="0"/>
              <w:ind w:left="0" w:leftChars="0" w:firstLine="0" w:firstLineChars="0"/>
              <w:jc w:val="center"/>
            </w:pPr>
            <w:r>
              <w:t>人员伤亡</w:t>
            </w:r>
          </w:p>
        </w:tc>
        <w:tc>
          <w:tcPr>
            <w:tcW w:w="1633" w:type="pct"/>
            <w:noWrap w:val="0"/>
            <w:vAlign w:val="center"/>
          </w:tcPr>
          <w:p w14:paraId="29AFDE16">
            <w:pPr>
              <w:pStyle w:val="45"/>
              <w:bidi w:val="0"/>
              <w:ind w:left="0" w:leftChars="0" w:firstLine="0" w:firstLineChars="0"/>
              <w:jc w:val="center"/>
            </w:pPr>
            <w:r>
              <w:t>油罐装置、维修场所</w:t>
            </w:r>
          </w:p>
        </w:tc>
      </w:tr>
      <w:tr w14:paraId="0EE8B8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78" w:type="pct"/>
            <w:noWrap w:val="0"/>
            <w:vAlign w:val="center"/>
          </w:tcPr>
          <w:p w14:paraId="4780B92B">
            <w:pPr>
              <w:pStyle w:val="45"/>
              <w:bidi w:val="0"/>
              <w:jc w:val="center"/>
            </w:pPr>
            <w:r>
              <w:t>6</w:t>
            </w:r>
          </w:p>
        </w:tc>
        <w:tc>
          <w:tcPr>
            <w:tcW w:w="1090" w:type="pct"/>
            <w:noWrap w:val="0"/>
            <w:vAlign w:val="center"/>
          </w:tcPr>
          <w:p w14:paraId="3B2954C0">
            <w:pPr>
              <w:pStyle w:val="45"/>
              <w:bidi w:val="0"/>
              <w:ind w:left="0" w:leftChars="0" w:firstLine="0" w:firstLineChars="0"/>
              <w:jc w:val="center"/>
            </w:pPr>
            <w:r>
              <w:t>机械伤害</w:t>
            </w:r>
          </w:p>
        </w:tc>
        <w:tc>
          <w:tcPr>
            <w:tcW w:w="1696" w:type="pct"/>
            <w:noWrap w:val="0"/>
            <w:vAlign w:val="center"/>
          </w:tcPr>
          <w:p w14:paraId="67B07285">
            <w:pPr>
              <w:pStyle w:val="45"/>
              <w:bidi w:val="0"/>
              <w:ind w:left="0" w:leftChars="0" w:firstLine="0" w:firstLineChars="0"/>
              <w:jc w:val="center"/>
            </w:pPr>
            <w:r>
              <w:t>人员伤亡或设备损坏</w:t>
            </w:r>
          </w:p>
        </w:tc>
        <w:tc>
          <w:tcPr>
            <w:tcW w:w="1633" w:type="pct"/>
            <w:noWrap w:val="0"/>
            <w:vAlign w:val="center"/>
          </w:tcPr>
          <w:p w14:paraId="50B571B7">
            <w:pPr>
              <w:pStyle w:val="45"/>
              <w:bidi w:val="0"/>
              <w:ind w:left="0" w:leftChars="0" w:firstLine="0" w:firstLineChars="0"/>
              <w:jc w:val="center"/>
            </w:pPr>
            <w:r>
              <w:t>机械传动设备</w:t>
            </w:r>
          </w:p>
        </w:tc>
      </w:tr>
      <w:tr w14:paraId="378CCE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78" w:type="pct"/>
            <w:noWrap w:val="0"/>
            <w:vAlign w:val="center"/>
          </w:tcPr>
          <w:p w14:paraId="3213FB8C">
            <w:pPr>
              <w:pStyle w:val="45"/>
              <w:bidi w:val="0"/>
              <w:jc w:val="center"/>
            </w:pPr>
            <w:r>
              <w:t>7</w:t>
            </w:r>
          </w:p>
        </w:tc>
        <w:tc>
          <w:tcPr>
            <w:tcW w:w="1090" w:type="pct"/>
            <w:noWrap w:val="0"/>
            <w:vAlign w:val="center"/>
          </w:tcPr>
          <w:p w14:paraId="02A3061F">
            <w:pPr>
              <w:pStyle w:val="45"/>
              <w:bidi w:val="0"/>
              <w:jc w:val="center"/>
            </w:pPr>
            <w:r>
              <w:rPr>
                <w:rFonts w:hint="eastAsia"/>
              </w:rPr>
              <w:t>坍塌</w:t>
            </w:r>
          </w:p>
        </w:tc>
        <w:tc>
          <w:tcPr>
            <w:tcW w:w="1696" w:type="pct"/>
            <w:noWrap w:val="0"/>
            <w:vAlign w:val="center"/>
          </w:tcPr>
          <w:p w14:paraId="77853969">
            <w:pPr>
              <w:pStyle w:val="45"/>
              <w:bidi w:val="0"/>
              <w:jc w:val="center"/>
            </w:pPr>
            <w:r>
              <w:t>人员伤亡、财产损失</w:t>
            </w:r>
          </w:p>
        </w:tc>
        <w:tc>
          <w:tcPr>
            <w:tcW w:w="1633" w:type="pct"/>
            <w:noWrap w:val="0"/>
            <w:vAlign w:val="center"/>
          </w:tcPr>
          <w:p w14:paraId="242370AC">
            <w:pPr>
              <w:pStyle w:val="45"/>
              <w:bidi w:val="0"/>
              <w:jc w:val="center"/>
            </w:pPr>
            <w:r>
              <w:t>橇装装置</w:t>
            </w:r>
          </w:p>
        </w:tc>
      </w:tr>
      <w:tr w14:paraId="7B3FCA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78" w:type="pct"/>
            <w:noWrap w:val="0"/>
            <w:vAlign w:val="center"/>
          </w:tcPr>
          <w:p w14:paraId="66FE5AB2">
            <w:pPr>
              <w:pStyle w:val="45"/>
              <w:bidi w:val="0"/>
              <w:jc w:val="center"/>
              <w:rPr>
                <w:rFonts w:hint="eastAsia" w:eastAsia="宋体"/>
                <w:lang w:val="en-US" w:eastAsia="zh-CN"/>
              </w:rPr>
            </w:pPr>
            <w:r>
              <w:rPr>
                <w:rFonts w:hint="eastAsia"/>
                <w:lang w:val="en-US" w:eastAsia="zh-CN"/>
              </w:rPr>
              <w:t>8</w:t>
            </w:r>
          </w:p>
        </w:tc>
        <w:tc>
          <w:tcPr>
            <w:tcW w:w="1090" w:type="pct"/>
            <w:noWrap w:val="0"/>
            <w:vAlign w:val="center"/>
          </w:tcPr>
          <w:p w14:paraId="1D1D44DA">
            <w:pPr>
              <w:pStyle w:val="45"/>
              <w:bidi w:val="0"/>
              <w:jc w:val="center"/>
              <w:rPr>
                <w:rFonts w:hint="eastAsia"/>
              </w:rPr>
            </w:pPr>
            <w:r>
              <w:rPr>
                <w:rFonts w:hint="eastAsia"/>
              </w:rPr>
              <w:t>有害物质</w:t>
            </w:r>
          </w:p>
        </w:tc>
        <w:tc>
          <w:tcPr>
            <w:tcW w:w="1696" w:type="pct"/>
            <w:noWrap w:val="0"/>
            <w:vAlign w:val="center"/>
          </w:tcPr>
          <w:p w14:paraId="419CD1BE">
            <w:pPr>
              <w:pStyle w:val="45"/>
              <w:bidi w:val="0"/>
              <w:jc w:val="center"/>
            </w:pPr>
            <w:r>
              <w:t>人员伤害</w:t>
            </w:r>
          </w:p>
        </w:tc>
        <w:tc>
          <w:tcPr>
            <w:tcW w:w="1633" w:type="pct"/>
            <w:noWrap w:val="0"/>
            <w:vAlign w:val="center"/>
          </w:tcPr>
          <w:p w14:paraId="7D1F9ACE">
            <w:pPr>
              <w:pStyle w:val="45"/>
              <w:bidi w:val="0"/>
              <w:jc w:val="center"/>
              <w:rPr>
                <w:rFonts w:hint="eastAsia" w:eastAsia="宋体"/>
                <w:lang w:val="en-US" w:eastAsia="zh-CN"/>
              </w:rPr>
            </w:pPr>
            <w:r>
              <w:t>橇装装置</w:t>
            </w:r>
            <w:r>
              <w:rPr>
                <w:rFonts w:hint="eastAsia"/>
                <w:lang w:val="en-US" w:eastAsia="zh-CN"/>
              </w:rPr>
              <w:t>附近</w:t>
            </w:r>
          </w:p>
        </w:tc>
      </w:tr>
      <w:tr w14:paraId="4C40B4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78" w:type="pct"/>
            <w:noWrap w:val="0"/>
            <w:vAlign w:val="center"/>
          </w:tcPr>
          <w:p w14:paraId="48D34890">
            <w:pPr>
              <w:pStyle w:val="45"/>
              <w:bidi w:val="0"/>
              <w:jc w:val="center"/>
              <w:rPr>
                <w:rFonts w:hint="eastAsia" w:eastAsia="宋体"/>
                <w:lang w:val="en-US" w:eastAsia="zh-CN"/>
              </w:rPr>
            </w:pPr>
            <w:r>
              <w:rPr>
                <w:rFonts w:hint="eastAsia"/>
                <w:lang w:val="en-US" w:eastAsia="zh-CN"/>
              </w:rPr>
              <w:t>9</w:t>
            </w:r>
          </w:p>
        </w:tc>
        <w:tc>
          <w:tcPr>
            <w:tcW w:w="1090" w:type="pct"/>
            <w:noWrap w:val="0"/>
            <w:vAlign w:val="center"/>
          </w:tcPr>
          <w:p w14:paraId="5E8DB275">
            <w:pPr>
              <w:pStyle w:val="45"/>
              <w:bidi w:val="0"/>
              <w:jc w:val="center"/>
              <w:rPr>
                <w:rFonts w:hint="eastAsia"/>
              </w:rPr>
            </w:pPr>
            <w:r>
              <w:rPr>
                <w:rFonts w:hint="eastAsia"/>
              </w:rPr>
              <w:t>噪声</w:t>
            </w:r>
          </w:p>
        </w:tc>
        <w:tc>
          <w:tcPr>
            <w:tcW w:w="1696" w:type="pct"/>
            <w:noWrap w:val="0"/>
            <w:vAlign w:val="center"/>
          </w:tcPr>
          <w:p w14:paraId="75BE0F82">
            <w:pPr>
              <w:pStyle w:val="45"/>
              <w:bidi w:val="0"/>
              <w:jc w:val="center"/>
              <w:rPr>
                <w:rFonts w:hint="eastAsia" w:eastAsia="宋体"/>
                <w:lang w:val="en-US" w:eastAsia="zh-CN"/>
              </w:rPr>
            </w:pPr>
            <w:r>
              <w:rPr>
                <w:rFonts w:hint="eastAsia"/>
                <w:lang w:val="en-US" w:eastAsia="zh-CN"/>
              </w:rPr>
              <w:t>职业病</w:t>
            </w:r>
          </w:p>
        </w:tc>
        <w:tc>
          <w:tcPr>
            <w:tcW w:w="1633" w:type="pct"/>
            <w:noWrap w:val="0"/>
            <w:vAlign w:val="center"/>
          </w:tcPr>
          <w:p w14:paraId="039C6D9D">
            <w:pPr>
              <w:pStyle w:val="45"/>
              <w:bidi w:val="0"/>
              <w:jc w:val="center"/>
              <w:rPr>
                <w:rFonts w:hint="default" w:eastAsia="宋体"/>
                <w:lang w:val="en-US" w:eastAsia="zh-CN"/>
              </w:rPr>
            </w:pPr>
            <w:r>
              <w:rPr>
                <w:rFonts w:hint="eastAsia"/>
                <w:lang w:val="en-US" w:eastAsia="zh-CN"/>
              </w:rPr>
              <w:t>车辆启动、机械运转部件</w:t>
            </w:r>
          </w:p>
        </w:tc>
      </w:tr>
    </w:tbl>
    <w:p w14:paraId="466F3079">
      <w:pPr>
        <w:pStyle w:val="3"/>
        <w:bidi w:val="0"/>
        <w:rPr>
          <w:rFonts w:hint="default"/>
          <w:lang w:val="en-US" w:eastAsia="zh-CN"/>
        </w:rPr>
      </w:pPr>
      <w:bookmarkStart w:id="49" w:name="_Toc28445"/>
      <w:r>
        <w:rPr>
          <w:rFonts w:hint="default"/>
          <w:lang w:val="en-US" w:eastAsia="zh-CN"/>
        </w:rPr>
        <w:t>3.4 自然条件的影响因素</w:t>
      </w:r>
      <w:bookmarkEnd w:id="49"/>
    </w:p>
    <w:p w14:paraId="256BF243">
      <w:pPr>
        <w:rPr>
          <w:rFonts w:hint="default"/>
          <w:lang w:val="en-US" w:eastAsia="zh-CN"/>
        </w:rPr>
      </w:pPr>
      <w:r>
        <w:rPr>
          <w:rFonts w:hint="default"/>
          <w:lang w:val="en-US" w:eastAsia="zh-CN"/>
        </w:rPr>
        <w:t>1</w:t>
      </w:r>
      <w:r>
        <w:rPr>
          <w:rFonts w:hint="eastAsia"/>
          <w:lang w:val="en-US" w:eastAsia="zh-CN"/>
        </w:rPr>
        <w:t xml:space="preserve">. </w:t>
      </w:r>
      <w:r>
        <w:rPr>
          <w:rFonts w:hint="default"/>
          <w:lang w:val="en-US" w:eastAsia="zh-CN"/>
        </w:rPr>
        <w:t>大风</w:t>
      </w:r>
    </w:p>
    <w:p w14:paraId="38F53F5C">
      <w:pPr>
        <w:rPr>
          <w:rFonts w:hint="default"/>
          <w:lang w:val="en-US" w:eastAsia="zh-CN"/>
        </w:rPr>
      </w:pPr>
      <w:r>
        <w:rPr>
          <w:rFonts w:hint="default"/>
          <w:lang w:val="en-US" w:eastAsia="zh-CN"/>
        </w:rPr>
        <w:t>根据当地自然条件，大风会对该自用撬装加油装置建、构筑物及高大设备等稳定性有一定影响；大风能使高处未固定好的物体吹落，可能造成物体打击；大风引起的扬尘可影响作业场所空气质量，造成环境质量下降，还会影响设备仪表的运行、寿命。</w:t>
      </w:r>
    </w:p>
    <w:p w14:paraId="590EE189">
      <w:pPr>
        <w:rPr>
          <w:rFonts w:hint="default"/>
          <w:lang w:val="en-US" w:eastAsia="zh-CN"/>
        </w:rPr>
      </w:pPr>
      <w:r>
        <w:rPr>
          <w:rFonts w:hint="default"/>
          <w:lang w:val="en-US" w:eastAsia="zh-CN"/>
        </w:rPr>
        <w:t>2</w:t>
      </w:r>
      <w:r>
        <w:rPr>
          <w:rFonts w:hint="eastAsia"/>
          <w:lang w:val="en-US" w:eastAsia="zh-CN"/>
        </w:rPr>
        <w:t xml:space="preserve">. </w:t>
      </w:r>
      <w:r>
        <w:rPr>
          <w:rFonts w:hint="default"/>
          <w:lang w:val="en-US" w:eastAsia="zh-CN"/>
        </w:rPr>
        <w:t>降雨</w:t>
      </w:r>
    </w:p>
    <w:p w14:paraId="3B180D70">
      <w:pPr>
        <w:rPr>
          <w:rFonts w:hint="default"/>
          <w:lang w:val="en-US" w:eastAsia="zh-CN"/>
        </w:rPr>
      </w:pPr>
      <w:r>
        <w:rPr>
          <w:rFonts w:hint="default"/>
          <w:lang w:val="en-US" w:eastAsia="zh-CN"/>
        </w:rPr>
        <w:t>该自用撬装加油装置所在地降雨时间比较集中，大雨至暴雨多集中在4～6月的汛期，突然的大规模降水可能导致排水不畅，引起油罐固定不牢、拉断管线等，从而造成事故。</w:t>
      </w:r>
    </w:p>
    <w:p w14:paraId="4ED0F515">
      <w:pPr>
        <w:rPr>
          <w:rFonts w:hint="default"/>
          <w:lang w:val="en-US" w:eastAsia="zh-CN"/>
        </w:rPr>
      </w:pPr>
      <w:r>
        <w:rPr>
          <w:rFonts w:hint="default"/>
          <w:lang w:val="en-US" w:eastAsia="zh-CN"/>
        </w:rPr>
        <w:t>3</w:t>
      </w:r>
      <w:r>
        <w:rPr>
          <w:rFonts w:hint="eastAsia"/>
          <w:lang w:val="en-US" w:eastAsia="zh-CN"/>
        </w:rPr>
        <w:t xml:space="preserve">. </w:t>
      </w:r>
      <w:r>
        <w:rPr>
          <w:rFonts w:hint="default"/>
          <w:lang w:val="en-US" w:eastAsia="zh-CN"/>
        </w:rPr>
        <w:t>雷电</w:t>
      </w:r>
    </w:p>
    <w:p w14:paraId="4126765E">
      <w:pPr>
        <w:rPr>
          <w:rFonts w:hint="default"/>
          <w:lang w:val="en-US" w:eastAsia="zh-CN"/>
        </w:rPr>
      </w:pPr>
      <w:r>
        <w:rPr>
          <w:rFonts w:hint="default"/>
          <w:lang w:val="en-US" w:eastAsia="zh-CN"/>
        </w:rPr>
        <w:t>该自用撬装加油装置处在南方多雷暴雨地区，在雷雨季节设备、配电装置有可能遭受雷击，产生火灾、爆炸、设备损坏、人员触电伤害事故。雷电的火灾危险性主要表现在雷电放电时所出现的各种物理效应和作用。</w:t>
      </w:r>
    </w:p>
    <w:p w14:paraId="5AD2C417">
      <w:pPr>
        <w:rPr>
          <w:rFonts w:hint="default"/>
          <w:lang w:val="en-US" w:eastAsia="zh-CN"/>
        </w:rPr>
      </w:pPr>
      <w:r>
        <w:rPr>
          <w:rFonts w:hint="default"/>
          <w:lang w:val="en-US" w:eastAsia="zh-CN"/>
        </w:rPr>
        <w:t>4</w:t>
      </w:r>
      <w:r>
        <w:rPr>
          <w:rFonts w:hint="eastAsia"/>
          <w:lang w:val="en-US" w:eastAsia="zh-CN"/>
        </w:rPr>
        <w:t xml:space="preserve">. </w:t>
      </w:r>
      <w:r>
        <w:rPr>
          <w:rFonts w:hint="default"/>
          <w:lang w:val="en-US" w:eastAsia="zh-CN"/>
        </w:rPr>
        <w:t>相对湿度影响分析</w:t>
      </w:r>
    </w:p>
    <w:p w14:paraId="601DB44C">
      <w:pPr>
        <w:rPr>
          <w:rFonts w:hint="default"/>
          <w:lang w:val="en-US" w:eastAsia="zh-CN"/>
        </w:rPr>
      </w:pPr>
      <w:r>
        <w:rPr>
          <w:rFonts w:hint="default"/>
          <w:lang w:val="en-US" w:eastAsia="zh-CN"/>
        </w:rPr>
        <w:t>自用撬装加油装置处南方，春夏季相对湿度较大，又是腐蚀性环境，可加大生产装置中电气设备的漏电性和腐蚀性；可造成建筑物基础、框架结构的梁柱、钢防护栏杆的腐蚀。</w:t>
      </w:r>
    </w:p>
    <w:p w14:paraId="15378631">
      <w:pPr>
        <w:rPr>
          <w:rFonts w:hint="default"/>
          <w:lang w:val="en-US" w:eastAsia="zh-CN"/>
        </w:rPr>
      </w:pPr>
      <w:r>
        <w:rPr>
          <w:rFonts w:hint="default"/>
          <w:lang w:val="en-US" w:eastAsia="zh-CN"/>
        </w:rPr>
        <w:t>5</w:t>
      </w:r>
      <w:r>
        <w:rPr>
          <w:rFonts w:hint="eastAsia"/>
          <w:lang w:val="en-US" w:eastAsia="zh-CN"/>
        </w:rPr>
        <w:t xml:space="preserve">. </w:t>
      </w:r>
      <w:r>
        <w:rPr>
          <w:rFonts w:hint="default"/>
          <w:lang w:val="en-US" w:eastAsia="zh-CN"/>
        </w:rPr>
        <w:t>自然温度影响分析</w:t>
      </w:r>
    </w:p>
    <w:p w14:paraId="267C8456">
      <w:pPr>
        <w:rPr>
          <w:rFonts w:hint="default"/>
          <w:lang w:val="en-US" w:eastAsia="zh-CN"/>
        </w:rPr>
      </w:pPr>
      <w:r>
        <w:rPr>
          <w:rFonts w:hint="default"/>
          <w:lang w:val="en-US" w:eastAsia="zh-CN"/>
        </w:rPr>
        <w:t>高温还可导致人员不适，甚至可导致中暑。冬季冰冻可能造成管道、设备冻裂，进而引发二次事故。</w:t>
      </w:r>
    </w:p>
    <w:p w14:paraId="739AB1C0">
      <w:pPr>
        <w:rPr>
          <w:rFonts w:hint="default"/>
          <w:lang w:val="en-US" w:eastAsia="zh-CN"/>
        </w:rPr>
      </w:pPr>
      <w:r>
        <w:rPr>
          <w:rFonts w:hint="default"/>
          <w:lang w:val="en-US" w:eastAsia="zh-CN"/>
        </w:rPr>
        <w:t>6、地震影响分析</w:t>
      </w:r>
    </w:p>
    <w:p w14:paraId="0DA2044D">
      <w:pPr>
        <w:rPr>
          <w:rFonts w:hint="default"/>
          <w:lang w:val="en-US" w:eastAsia="zh-CN"/>
        </w:rPr>
      </w:pPr>
      <w:r>
        <w:rPr>
          <w:rFonts w:hint="default"/>
          <w:lang w:val="en-US" w:eastAsia="zh-CN"/>
        </w:rPr>
        <w:t>所在地地震烈度为6度</w:t>
      </w:r>
      <w:r>
        <w:rPr>
          <w:color w:val="auto"/>
        </w:rPr>
        <w:t>，地震灾害的危险较小。</w:t>
      </w:r>
    </w:p>
    <w:p w14:paraId="6EC3D2FF">
      <w:pPr>
        <w:rPr>
          <w:rFonts w:hint="default"/>
          <w:lang w:val="en-US" w:eastAsia="zh-CN"/>
        </w:rPr>
      </w:pPr>
      <w:r>
        <w:rPr>
          <w:rFonts w:hint="default"/>
          <w:lang w:val="en-US" w:eastAsia="zh-CN"/>
        </w:rPr>
        <w:t>7、冰雪影响分析</w:t>
      </w:r>
    </w:p>
    <w:p w14:paraId="064347BE">
      <w:pPr>
        <w:rPr>
          <w:rFonts w:hint="default"/>
          <w:lang w:val="en-US" w:eastAsia="zh-CN"/>
        </w:rPr>
      </w:pPr>
      <w:r>
        <w:rPr>
          <w:rFonts w:hint="default"/>
          <w:lang w:val="en-US" w:eastAsia="zh-CN"/>
        </w:rPr>
        <w:t>大雪及冰冻可导致架空电力线路的坍塌；导致路面湿滑，可致人员的跌跤。</w:t>
      </w:r>
    </w:p>
    <w:p w14:paraId="4FA7C2F6">
      <w:pPr>
        <w:pStyle w:val="3"/>
        <w:bidi w:val="0"/>
        <w:rPr>
          <w:rFonts w:hint="default"/>
          <w:lang w:val="en-US" w:eastAsia="zh-CN"/>
        </w:rPr>
      </w:pPr>
      <w:bookmarkStart w:id="50" w:name="_Toc1754"/>
      <w:r>
        <w:rPr>
          <w:rFonts w:hint="default"/>
          <w:lang w:val="en-US" w:eastAsia="zh-CN"/>
        </w:rPr>
        <w:t>3.5 重大危险源辨识</w:t>
      </w:r>
      <w:bookmarkEnd w:id="50"/>
    </w:p>
    <w:p w14:paraId="324F65AA">
      <w:pPr>
        <w:pStyle w:val="4"/>
        <w:bidi w:val="0"/>
        <w:rPr>
          <w:rFonts w:hint="default"/>
          <w:lang w:val="en-US" w:eastAsia="zh-CN"/>
        </w:rPr>
      </w:pPr>
      <w:bookmarkStart w:id="51" w:name="_Toc2500"/>
      <w:r>
        <w:rPr>
          <w:rFonts w:hint="default"/>
          <w:lang w:val="en-US" w:eastAsia="zh-CN"/>
        </w:rPr>
        <w:t>3.5.1</w:t>
      </w:r>
      <w:r>
        <w:rPr>
          <w:rFonts w:hint="eastAsia"/>
          <w:lang w:val="en-US" w:eastAsia="zh-CN"/>
        </w:rPr>
        <w:t xml:space="preserve"> </w:t>
      </w:r>
      <w:r>
        <w:rPr>
          <w:rFonts w:hint="default"/>
          <w:lang w:val="en-US" w:eastAsia="zh-CN"/>
        </w:rPr>
        <w:t>重大危险源辨识依据</w:t>
      </w:r>
      <w:bookmarkEnd w:id="51"/>
    </w:p>
    <w:p w14:paraId="13B0E061">
      <w:pPr>
        <w:rPr>
          <w:rFonts w:hint="default"/>
          <w:lang w:val="en-US" w:eastAsia="zh-CN"/>
        </w:rPr>
      </w:pPr>
      <w:r>
        <w:rPr>
          <w:rFonts w:hint="default"/>
          <w:lang w:val="en-US" w:eastAsia="zh-CN"/>
        </w:rPr>
        <w:t>《危险化学品重大危险源辨识》（GB18218-2018）中根据物质的不同特性，将危险物质分为爆炸物、易燃气体、气溶胶、氧化性气体、易燃液体、易燃固体、自反应物质和混合物、自燃液体、自燃固体、自热物质和混合物、遇水放出易燃气体的物质和混合物、氧化性液体、氧化性固体、有机过氧化物、急性毒性十五大类，《危险化学品重大危险源辨识》中给出了部分物质的名称及其临界量，对未列出具体临界量物质规定了相应临界量确定办法。</w:t>
      </w:r>
    </w:p>
    <w:p w14:paraId="3FE0AC54">
      <w:pPr>
        <w:rPr>
          <w:rFonts w:hint="default"/>
          <w:lang w:val="en-US" w:eastAsia="zh-CN"/>
        </w:rPr>
      </w:pPr>
      <w:r>
        <w:rPr>
          <w:rFonts w:hint="default"/>
          <w:lang w:val="en-US" w:eastAsia="zh-CN"/>
        </w:rPr>
        <w:t>危险化学品：具有毒害、腐蚀、爆炸、燃烧、助燃等性质，对人体、设施、环境具有危害的剧毒化学品和其他化学品。</w:t>
      </w:r>
    </w:p>
    <w:p w14:paraId="2E7F302A">
      <w:pPr>
        <w:rPr>
          <w:rFonts w:hint="default"/>
          <w:lang w:val="en-US" w:eastAsia="zh-CN"/>
        </w:rPr>
      </w:pPr>
      <w:r>
        <w:rPr>
          <w:rFonts w:hint="default"/>
          <w:lang w:val="en-US" w:eastAsia="zh-CN"/>
        </w:rPr>
        <w:t>单元：涉及危险化学品的生产、储存装置、设施或场所，分为生产单元和储存单元。</w:t>
      </w:r>
    </w:p>
    <w:p w14:paraId="132B297B">
      <w:pPr>
        <w:rPr>
          <w:rFonts w:hint="default"/>
          <w:lang w:val="en-US" w:eastAsia="zh-CN"/>
        </w:rPr>
      </w:pPr>
      <w:r>
        <w:rPr>
          <w:rFonts w:hint="default"/>
          <w:lang w:val="en-US" w:eastAsia="zh-CN"/>
        </w:rPr>
        <w:t>生产单元：危险化学品的生产、加工及使用等的装置，当装置及设施之间有切断阀时，以切断阀作为分隔界限划分为独立的单元。</w:t>
      </w:r>
    </w:p>
    <w:p w14:paraId="4AAA73FF">
      <w:pPr>
        <w:rPr>
          <w:rFonts w:hint="default"/>
          <w:lang w:val="en-US" w:eastAsia="zh-CN"/>
        </w:rPr>
      </w:pPr>
      <w:r>
        <w:rPr>
          <w:rFonts w:hint="default"/>
          <w:lang w:val="en-US" w:eastAsia="zh-CN"/>
        </w:rPr>
        <w:t>储存单元：用于储存危险化学品的储罐或仓库组成的相对独立的区域，油罐区以罐区防火堤为界限划分为独立的单元，仓库以独立库房（独立建筑物）为界限划分为独立的单元。</w:t>
      </w:r>
    </w:p>
    <w:p w14:paraId="35EC3D76">
      <w:pPr>
        <w:rPr>
          <w:rFonts w:hint="default"/>
          <w:lang w:val="en-US" w:eastAsia="zh-CN"/>
        </w:rPr>
      </w:pPr>
      <w:r>
        <w:rPr>
          <w:rFonts w:hint="default"/>
          <w:lang w:val="en-US" w:eastAsia="zh-CN"/>
        </w:rPr>
        <w:t>临界量：某种或某类危险化学品构成重大危险源所规定的最小数量。</w:t>
      </w:r>
    </w:p>
    <w:p w14:paraId="7B50D339">
      <w:pPr>
        <w:rPr>
          <w:rFonts w:hint="default"/>
          <w:lang w:val="en-US" w:eastAsia="zh-CN"/>
        </w:rPr>
      </w:pPr>
      <w:r>
        <w:rPr>
          <w:rFonts w:hint="default"/>
          <w:lang w:val="en-US" w:eastAsia="zh-CN"/>
        </w:rPr>
        <w:t>危险化学品重大危险源：长期或临时地生产、储存、使用和经营危险化学品，且危险化学品的数量等于或超过临界量的单元。</w:t>
      </w:r>
    </w:p>
    <w:p w14:paraId="03CA17B9">
      <w:pPr>
        <w:rPr>
          <w:rFonts w:hint="default"/>
          <w:lang w:val="en-US" w:eastAsia="zh-CN"/>
        </w:rPr>
      </w:pPr>
      <w:r>
        <w:rPr>
          <w:rFonts w:hint="default"/>
          <w:lang w:val="en-US" w:eastAsia="zh-CN"/>
        </w:rPr>
        <w:t>混合物：由两种或者多种物质组成的混合体或者溶液。</w:t>
      </w:r>
    </w:p>
    <w:p w14:paraId="1B1A1BAE">
      <w:pPr>
        <w:rPr>
          <w:rFonts w:hint="default"/>
          <w:lang w:val="en-US" w:eastAsia="zh-CN"/>
        </w:rPr>
      </w:pPr>
      <w:r>
        <w:rPr>
          <w:rFonts w:hint="default"/>
          <w:lang w:val="en-US" w:eastAsia="zh-CN"/>
        </w:rPr>
        <w:t>生产单元、储存单元内存在的危险化学品为多品种时，则按下式计算，若满足下面公式，则为重大危险源：</w:t>
      </w:r>
    </w:p>
    <w:p w14:paraId="721D4D99">
      <w:pPr>
        <w:rPr>
          <w:rFonts w:hint="default"/>
          <w:lang w:val="en-US" w:eastAsia="zh-CN"/>
        </w:rPr>
      </w:pPr>
      <w:r>
        <w:rPr>
          <w:rFonts w:hint="default"/>
          <w:lang w:val="en-US" w:eastAsia="zh-CN"/>
        </w:rPr>
        <w:t>S＝q</w:t>
      </w:r>
      <w:r>
        <w:rPr>
          <w:rFonts w:hint="default"/>
          <w:vertAlign w:val="subscript"/>
          <w:lang w:val="en-US" w:eastAsia="zh-CN"/>
        </w:rPr>
        <w:t>1</w:t>
      </w:r>
      <w:r>
        <w:rPr>
          <w:rFonts w:hint="default"/>
          <w:lang w:val="en-US" w:eastAsia="zh-CN"/>
        </w:rPr>
        <w:t>/Q</w:t>
      </w:r>
      <w:r>
        <w:rPr>
          <w:rFonts w:hint="default"/>
          <w:vertAlign w:val="subscript"/>
          <w:lang w:val="en-US" w:eastAsia="zh-CN"/>
        </w:rPr>
        <w:t>1</w:t>
      </w:r>
      <w:r>
        <w:rPr>
          <w:rFonts w:hint="default"/>
          <w:lang w:val="en-US" w:eastAsia="zh-CN"/>
        </w:rPr>
        <w:t>＋q</w:t>
      </w:r>
      <w:r>
        <w:rPr>
          <w:rFonts w:hint="default"/>
          <w:vertAlign w:val="subscript"/>
          <w:lang w:val="en-US" w:eastAsia="zh-CN"/>
        </w:rPr>
        <w:t>2</w:t>
      </w:r>
      <w:r>
        <w:rPr>
          <w:rFonts w:hint="default"/>
          <w:lang w:val="en-US" w:eastAsia="zh-CN"/>
        </w:rPr>
        <w:t>/Q</w:t>
      </w:r>
      <w:r>
        <w:rPr>
          <w:rFonts w:hint="default"/>
          <w:vertAlign w:val="subscript"/>
          <w:lang w:val="en-US" w:eastAsia="zh-CN"/>
        </w:rPr>
        <w:t>2</w:t>
      </w:r>
      <w:r>
        <w:rPr>
          <w:rFonts w:hint="default"/>
          <w:lang w:val="en-US" w:eastAsia="zh-CN"/>
        </w:rPr>
        <w:t>＋…＋q</w:t>
      </w:r>
      <w:r>
        <w:rPr>
          <w:rFonts w:hint="default"/>
          <w:vertAlign w:val="subscript"/>
          <w:lang w:val="en-US" w:eastAsia="zh-CN"/>
        </w:rPr>
        <w:t>n</w:t>
      </w:r>
      <w:r>
        <w:rPr>
          <w:rFonts w:hint="default"/>
          <w:lang w:val="en-US" w:eastAsia="zh-CN"/>
        </w:rPr>
        <w:t>/Q</w:t>
      </w:r>
      <w:r>
        <w:rPr>
          <w:rFonts w:hint="default"/>
          <w:vertAlign w:val="subscript"/>
          <w:lang w:val="en-US" w:eastAsia="zh-CN"/>
        </w:rPr>
        <w:t>n</w:t>
      </w:r>
      <w:r>
        <w:rPr>
          <w:rFonts w:hint="default"/>
          <w:lang w:val="en-US" w:eastAsia="zh-CN"/>
        </w:rPr>
        <w:t>≥1</w:t>
      </w:r>
    </w:p>
    <w:p w14:paraId="27B01066">
      <w:pPr>
        <w:rPr>
          <w:rFonts w:hint="default"/>
          <w:lang w:val="en-US" w:eastAsia="zh-CN"/>
        </w:rPr>
      </w:pPr>
      <w:r>
        <w:rPr>
          <w:rFonts w:hint="default"/>
          <w:lang w:val="en-US" w:eastAsia="zh-CN"/>
        </w:rPr>
        <w:t>式中：S－辨识指标；</w:t>
      </w:r>
    </w:p>
    <w:p w14:paraId="74F8A56E">
      <w:pPr>
        <w:rPr>
          <w:rFonts w:hint="default"/>
          <w:lang w:val="en-US" w:eastAsia="zh-CN"/>
        </w:rPr>
      </w:pPr>
      <w:r>
        <w:rPr>
          <w:rFonts w:hint="default"/>
          <w:lang w:val="en-US" w:eastAsia="zh-CN"/>
        </w:rPr>
        <w:t>q</w:t>
      </w:r>
      <w:r>
        <w:rPr>
          <w:rFonts w:hint="default"/>
          <w:vertAlign w:val="subscript"/>
          <w:lang w:val="en-US" w:eastAsia="zh-CN"/>
        </w:rPr>
        <w:t>1</w:t>
      </w:r>
      <w:r>
        <w:rPr>
          <w:rFonts w:hint="default"/>
          <w:lang w:val="en-US" w:eastAsia="zh-CN"/>
        </w:rPr>
        <w:t>，q</w:t>
      </w:r>
      <w:r>
        <w:rPr>
          <w:rFonts w:hint="default"/>
          <w:vertAlign w:val="subscript"/>
          <w:lang w:val="en-US" w:eastAsia="zh-CN"/>
        </w:rPr>
        <w:t>2</w:t>
      </w:r>
      <w:r>
        <w:rPr>
          <w:rFonts w:hint="default"/>
          <w:lang w:val="en-US" w:eastAsia="zh-CN"/>
        </w:rPr>
        <w:t>……q</w:t>
      </w:r>
      <w:r>
        <w:rPr>
          <w:rFonts w:hint="default"/>
          <w:vertAlign w:val="subscript"/>
          <w:lang w:val="en-US" w:eastAsia="zh-CN"/>
        </w:rPr>
        <w:t>n</w:t>
      </w:r>
      <w:r>
        <w:rPr>
          <w:rFonts w:hint="default"/>
          <w:lang w:val="en-US" w:eastAsia="zh-CN"/>
        </w:rPr>
        <w:t>—每种危险化学品的实际存在量，t。</w:t>
      </w:r>
    </w:p>
    <w:p w14:paraId="7707E36C">
      <w:pPr>
        <w:rPr>
          <w:rFonts w:hint="default"/>
          <w:lang w:val="en-US" w:eastAsia="zh-CN"/>
        </w:rPr>
      </w:pPr>
      <w:r>
        <w:rPr>
          <w:rFonts w:hint="default"/>
          <w:lang w:val="en-US" w:eastAsia="zh-CN"/>
        </w:rPr>
        <w:t>Q</w:t>
      </w:r>
      <w:r>
        <w:rPr>
          <w:rFonts w:hint="default"/>
          <w:vertAlign w:val="subscript"/>
          <w:lang w:val="en-US" w:eastAsia="zh-CN"/>
        </w:rPr>
        <w:t>1</w:t>
      </w:r>
      <w:r>
        <w:rPr>
          <w:rFonts w:hint="default"/>
          <w:lang w:val="en-US" w:eastAsia="zh-CN"/>
        </w:rPr>
        <w:t>，Q</w:t>
      </w:r>
      <w:r>
        <w:rPr>
          <w:rFonts w:hint="default"/>
          <w:vertAlign w:val="subscript"/>
          <w:lang w:val="en-US" w:eastAsia="zh-CN"/>
        </w:rPr>
        <w:t>2</w:t>
      </w:r>
      <w:r>
        <w:rPr>
          <w:rFonts w:hint="default"/>
          <w:lang w:val="en-US" w:eastAsia="zh-CN"/>
        </w:rPr>
        <w:t>…Q</w:t>
      </w:r>
      <w:r>
        <w:rPr>
          <w:rFonts w:hint="default"/>
          <w:vertAlign w:val="subscript"/>
          <w:lang w:val="en-US" w:eastAsia="zh-CN"/>
        </w:rPr>
        <w:t>n</w:t>
      </w:r>
      <w:r>
        <w:rPr>
          <w:rFonts w:hint="default"/>
          <w:lang w:val="en-US" w:eastAsia="zh-CN"/>
        </w:rPr>
        <w:t>—与各危险化学品相对应的临界量，t。</w:t>
      </w:r>
    </w:p>
    <w:p w14:paraId="1460234A">
      <w:pPr>
        <w:pStyle w:val="4"/>
        <w:bidi w:val="0"/>
        <w:rPr>
          <w:rFonts w:hint="default"/>
          <w:lang w:val="en-US" w:eastAsia="zh-CN"/>
        </w:rPr>
      </w:pPr>
      <w:bookmarkStart w:id="52" w:name="_Toc7513"/>
      <w:r>
        <w:rPr>
          <w:rFonts w:hint="default"/>
          <w:lang w:val="en-US" w:eastAsia="zh-CN"/>
        </w:rPr>
        <w:t>3.5.2</w:t>
      </w:r>
      <w:r>
        <w:rPr>
          <w:rFonts w:hint="eastAsia"/>
          <w:lang w:val="en-US" w:eastAsia="zh-CN"/>
        </w:rPr>
        <w:t xml:space="preserve"> </w:t>
      </w:r>
      <w:r>
        <w:rPr>
          <w:rFonts w:hint="default"/>
          <w:lang w:val="en-US" w:eastAsia="zh-CN"/>
        </w:rPr>
        <w:t>危险化学品重大危险源的辨识情况</w:t>
      </w:r>
      <w:bookmarkEnd w:id="52"/>
    </w:p>
    <w:p w14:paraId="14752D8A">
      <w:pPr>
        <w:rPr>
          <w:rFonts w:hint="default"/>
          <w:lang w:val="en-US" w:eastAsia="zh-CN"/>
        </w:rPr>
      </w:pPr>
      <w:r>
        <w:rPr>
          <w:rFonts w:hint="default"/>
          <w:lang w:val="en-US" w:eastAsia="zh-CN"/>
        </w:rPr>
        <w:t>根据《危险化学品重大危险源辨识》（GB18218-2018）的规定，本站的柴油（表2，易燃液体类别3，W5.4）被列入危险化学品重大危险源规定的物质种类，柴油临界量为5000t。</w:t>
      </w:r>
    </w:p>
    <w:p w14:paraId="4EEBF777">
      <w:pPr>
        <w:rPr>
          <w:rFonts w:hint="default"/>
          <w:lang w:val="en-US" w:eastAsia="zh-CN"/>
        </w:rPr>
      </w:pPr>
      <w:r>
        <w:rPr>
          <w:rFonts w:hint="default"/>
          <w:lang w:val="en-US" w:eastAsia="zh-CN"/>
        </w:rPr>
        <w:t>该项目撬装装置属于撬装加油装置，生产单元和储存均设置在一套设备内，整体划分为一个单元。</w:t>
      </w:r>
    </w:p>
    <w:p w14:paraId="77353926">
      <w:pPr>
        <w:rPr>
          <w:rFonts w:hint="default"/>
          <w:lang w:val="en-US" w:eastAsia="zh-CN"/>
        </w:rPr>
      </w:pPr>
      <w:r>
        <w:rPr>
          <w:rFonts w:hint="default"/>
          <w:lang w:val="en-US" w:eastAsia="zh-CN"/>
        </w:rPr>
        <w:t>存在量：（柴油密度取0.85g/ml）</w:t>
      </w:r>
    </w:p>
    <w:p w14:paraId="3CA92812">
      <w:pPr>
        <w:rPr>
          <w:rFonts w:hint="default"/>
          <w:lang w:val="en-US" w:eastAsia="zh-CN"/>
        </w:rPr>
      </w:pPr>
      <w:r>
        <w:rPr>
          <w:rFonts w:hint="default"/>
          <w:lang w:val="en-US" w:eastAsia="zh-CN"/>
        </w:rPr>
        <w:t>柴油储罐容量30m</w:t>
      </w:r>
      <w:r>
        <w:rPr>
          <w:rFonts w:hint="eastAsia"/>
          <w:vertAlign w:val="superscript"/>
          <w:lang w:val="en-US" w:eastAsia="zh-CN"/>
        </w:rPr>
        <w:t>3</w:t>
      </w:r>
      <w:r>
        <w:rPr>
          <w:rFonts w:hint="default"/>
          <w:lang w:val="en-US" w:eastAsia="zh-CN"/>
        </w:rPr>
        <w:t>，密度取0.85，则储量30×0.85×0.95=24.225t（装填系数不超过0.95）。加油管道和加油机中的柴油很少约0.01t。</w:t>
      </w:r>
    </w:p>
    <w:p w14:paraId="0DCA592F">
      <w:pPr>
        <w:rPr>
          <w:rFonts w:hint="default"/>
          <w:lang w:val="en-US" w:eastAsia="zh-CN"/>
        </w:rPr>
      </w:pPr>
      <w:r>
        <w:rPr>
          <w:rFonts w:hint="default"/>
          <w:lang w:val="en-US" w:eastAsia="zh-CN"/>
        </w:rPr>
        <w:t>辨识情况见下表：</w:t>
      </w:r>
    </w:p>
    <w:p w14:paraId="01230FCF">
      <w:pPr>
        <w:ind w:left="0" w:leftChars="0" w:firstLine="0" w:firstLineChars="0"/>
        <w:jc w:val="center"/>
        <w:rPr>
          <w:rFonts w:hint="default"/>
          <w:lang w:val="en-US" w:eastAsia="zh-CN"/>
        </w:rPr>
      </w:pPr>
      <w:r>
        <w:rPr>
          <w:rFonts w:hint="default"/>
          <w:lang w:val="en-US" w:eastAsia="zh-CN"/>
        </w:rPr>
        <w:t>表3.</w:t>
      </w:r>
      <w:r>
        <w:rPr>
          <w:rFonts w:hint="eastAsia"/>
          <w:lang w:val="en-US" w:eastAsia="zh-CN"/>
        </w:rPr>
        <w:t>5</w:t>
      </w:r>
      <w:r>
        <w:rPr>
          <w:rFonts w:hint="default"/>
          <w:lang w:val="en-US" w:eastAsia="zh-CN"/>
        </w:rPr>
        <w:t>-1 该项目危险化学品重大危险源辨识表</w:t>
      </w:r>
    </w:p>
    <w:tbl>
      <w:tblPr>
        <w:tblStyle w:val="20"/>
        <w:tblW w:w="8418" w:type="dxa"/>
        <w:jc w:val="center"/>
        <w:tblLayout w:type="fixed"/>
        <w:tblCellMar>
          <w:top w:w="0" w:type="dxa"/>
          <w:left w:w="108" w:type="dxa"/>
          <w:bottom w:w="0" w:type="dxa"/>
          <w:right w:w="108" w:type="dxa"/>
        </w:tblCellMar>
      </w:tblPr>
      <w:tblGrid>
        <w:gridCol w:w="657"/>
        <w:gridCol w:w="1065"/>
        <w:gridCol w:w="861"/>
        <w:gridCol w:w="1305"/>
        <w:gridCol w:w="1305"/>
        <w:gridCol w:w="1275"/>
        <w:gridCol w:w="1080"/>
        <w:gridCol w:w="870"/>
      </w:tblGrid>
      <w:tr w14:paraId="3A97A9A5">
        <w:tblPrEx>
          <w:tblCellMar>
            <w:top w:w="0" w:type="dxa"/>
            <w:left w:w="108" w:type="dxa"/>
            <w:bottom w:w="0" w:type="dxa"/>
            <w:right w:w="108" w:type="dxa"/>
          </w:tblCellMar>
        </w:tblPrEx>
        <w:trPr>
          <w:trHeight w:val="440" w:hRule="atLeast"/>
          <w:jc w:val="center"/>
        </w:trPr>
        <w:tc>
          <w:tcPr>
            <w:tcW w:w="657" w:type="dxa"/>
            <w:tcBorders>
              <w:top w:val="single" w:color="auto" w:sz="6" w:space="0"/>
              <w:left w:val="single" w:color="auto" w:sz="6" w:space="0"/>
              <w:bottom w:val="single" w:color="auto" w:sz="4" w:space="0"/>
              <w:right w:val="single" w:color="auto" w:sz="6" w:space="0"/>
            </w:tcBorders>
            <w:noWrap w:val="0"/>
            <w:vAlign w:val="center"/>
          </w:tcPr>
          <w:p w14:paraId="61EAACD9">
            <w:pPr>
              <w:autoSpaceDE w:val="0"/>
              <w:autoSpaceDN w:val="0"/>
              <w:adjustRightInd w:val="0"/>
              <w:spacing w:line="240" w:lineRule="atLeast"/>
              <w:ind w:firstLine="0" w:firstLineChars="0"/>
              <w:jc w:val="center"/>
              <w:rPr>
                <w:b/>
                <w:bCs/>
                <w:color w:val="auto"/>
                <w:sz w:val="21"/>
                <w:szCs w:val="21"/>
                <w:lang w:val="zh-CN"/>
              </w:rPr>
            </w:pPr>
            <w:r>
              <w:rPr>
                <w:b/>
                <w:bCs/>
                <w:color w:val="auto"/>
                <w:sz w:val="21"/>
                <w:szCs w:val="21"/>
                <w:lang w:val="zh-CN"/>
              </w:rPr>
              <w:t>序号</w:t>
            </w:r>
          </w:p>
        </w:tc>
        <w:tc>
          <w:tcPr>
            <w:tcW w:w="1065" w:type="dxa"/>
            <w:tcBorders>
              <w:top w:val="single" w:color="auto" w:sz="6" w:space="0"/>
              <w:left w:val="single" w:color="auto" w:sz="6" w:space="0"/>
              <w:bottom w:val="single" w:color="auto" w:sz="4" w:space="0"/>
              <w:right w:val="single" w:color="auto" w:sz="4" w:space="0"/>
            </w:tcBorders>
            <w:noWrap w:val="0"/>
            <w:vAlign w:val="center"/>
          </w:tcPr>
          <w:p w14:paraId="7B226A4D">
            <w:pPr>
              <w:autoSpaceDE w:val="0"/>
              <w:autoSpaceDN w:val="0"/>
              <w:adjustRightInd w:val="0"/>
              <w:spacing w:line="240" w:lineRule="atLeast"/>
              <w:ind w:firstLine="0" w:firstLineChars="0"/>
              <w:jc w:val="center"/>
              <w:rPr>
                <w:b/>
                <w:bCs/>
                <w:color w:val="auto"/>
                <w:sz w:val="21"/>
                <w:szCs w:val="21"/>
                <w:lang w:val="zh-CN"/>
              </w:rPr>
            </w:pPr>
            <w:r>
              <w:rPr>
                <w:b/>
                <w:bCs/>
                <w:color w:val="auto"/>
                <w:sz w:val="21"/>
                <w:szCs w:val="21"/>
                <w:lang w:val="zh-CN"/>
              </w:rPr>
              <w:t>单元</w:t>
            </w:r>
          </w:p>
        </w:tc>
        <w:tc>
          <w:tcPr>
            <w:tcW w:w="861" w:type="dxa"/>
            <w:tcBorders>
              <w:top w:val="single" w:color="auto" w:sz="6" w:space="0"/>
              <w:left w:val="single" w:color="auto" w:sz="4" w:space="0"/>
              <w:bottom w:val="single" w:color="auto" w:sz="4" w:space="0"/>
              <w:right w:val="single" w:color="auto" w:sz="6" w:space="0"/>
            </w:tcBorders>
            <w:noWrap w:val="0"/>
            <w:vAlign w:val="center"/>
          </w:tcPr>
          <w:p w14:paraId="46A55C21">
            <w:pPr>
              <w:autoSpaceDE w:val="0"/>
              <w:autoSpaceDN w:val="0"/>
              <w:adjustRightInd w:val="0"/>
              <w:spacing w:line="240" w:lineRule="atLeast"/>
              <w:ind w:firstLine="0" w:firstLineChars="0"/>
              <w:jc w:val="center"/>
              <w:rPr>
                <w:b/>
                <w:bCs/>
                <w:color w:val="auto"/>
                <w:sz w:val="21"/>
                <w:szCs w:val="21"/>
                <w:lang w:val="zh-CN"/>
              </w:rPr>
            </w:pPr>
            <w:r>
              <w:rPr>
                <w:b/>
                <w:bCs/>
                <w:color w:val="auto"/>
                <w:sz w:val="21"/>
                <w:szCs w:val="21"/>
                <w:lang w:val="zh-CN"/>
              </w:rPr>
              <w:t>物质</w:t>
            </w:r>
          </w:p>
        </w:tc>
        <w:tc>
          <w:tcPr>
            <w:tcW w:w="1305" w:type="dxa"/>
            <w:tcBorders>
              <w:top w:val="single" w:color="auto" w:sz="6" w:space="0"/>
              <w:left w:val="single" w:color="auto" w:sz="6" w:space="0"/>
              <w:bottom w:val="single" w:color="auto" w:sz="4" w:space="0"/>
              <w:right w:val="single" w:color="auto" w:sz="6" w:space="0"/>
            </w:tcBorders>
            <w:noWrap w:val="0"/>
            <w:vAlign w:val="center"/>
          </w:tcPr>
          <w:p w14:paraId="797A348A">
            <w:pPr>
              <w:autoSpaceDE w:val="0"/>
              <w:autoSpaceDN w:val="0"/>
              <w:adjustRightInd w:val="0"/>
              <w:spacing w:line="240" w:lineRule="atLeast"/>
              <w:ind w:firstLine="0" w:firstLineChars="0"/>
              <w:jc w:val="center"/>
              <w:rPr>
                <w:b/>
                <w:bCs/>
                <w:color w:val="auto"/>
                <w:sz w:val="21"/>
                <w:szCs w:val="21"/>
                <w:lang w:val="zh-CN"/>
              </w:rPr>
            </w:pPr>
            <w:r>
              <w:rPr>
                <w:b/>
                <w:bCs/>
                <w:color w:val="auto"/>
                <w:sz w:val="21"/>
                <w:szCs w:val="21"/>
                <w:lang w:val="zh-CN"/>
              </w:rPr>
              <w:t>危险性分类</w:t>
            </w:r>
          </w:p>
        </w:tc>
        <w:tc>
          <w:tcPr>
            <w:tcW w:w="1305" w:type="dxa"/>
            <w:tcBorders>
              <w:top w:val="single" w:color="auto" w:sz="6" w:space="0"/>
              <w:left w:val="single" w:color="auto" w:sz="6" w:space="0"/>
              <w:bottom w:val="single" w:color="auto" w:sz="4" w:space="0"/>
              <w:right w:val="single" w:color="auto" w:sz="6" w:space="0"/>
            </w:tcBorders>
            <w:noWrap w:val="0"/>
            <w:vAlign w:val="center"/>
          </w:tcPr>
          <w:p w14:paraId="7CCE038B">
            <w:pPr>
              <w:autoSpaceDE w:val="0"/>
              <w:autoSpaceDN w:val="0"/>
              <w:adjustRightInd w:val="0"/>
              <w:spacing w:line="240" w:lineRule="atLeast"/>
              <w:ind w:firstLine="0" w:firstLineChars="0"/>
              <w:jc w:val="center"/>
              <w:rPr>
                <w:b/>
                <w:bCs/>
                <w:color w:val="auto"/>
                <w:sz w:val="21"/>
                <w:szCs w:val="21"/>
                <w:lang w:val="zh-CN"/>
              </w:rPr>
            </w:pPr>
            <w:r>
              <w:rPr>
                <w:b/>
                <w:bCs/>
                <w:color w:val="auto"/>
                <w:sz w:val="21"/>
                <w:szCs w:val="21"/>
              </w:rPr>
              <w:t>临界量（</w:t>
            </w:r>
            <w:r>
              <w:rPr>
                <w:b/>
                <w:bCs/>
                <w:color w:val="auto"/>
                <w:sz w:val="21"/>
                <w:szCs w:val="21"/>
                <w:lang w:val="zh-CN"/>
              </w:rPr>
              <w:t>t</w:t>
            </w:r>
            <w:r>
              <w:rPr>
                <w:b/>
                <w:bCs/>
                <w:color w:val="auto"/>
                <w:sz w:val="21"/>
                <w:szCs w:val="21"/>
              </w:rPr>
              <w:t>）</w:t>
            </w:r>
          </w:p>
        </w:tc>
        <w:tc>
          <w:tcPr>
            <w:tcW w:w="1275" w:type="dxa"/>
            <w:tcBorders>
              <w:top w:val="single" w:color="auto" w:sz="6" w:space="0"/>
              <w:left w:val="single" w:color="auto" w:sz="6" w:space="0"/>
              <w:bottom w:val="single" w:color="auto" w:sz="4" w:space="0"/>
              <w:right w:val="single" w:color="auto" w:sz="6" w:space="0"/>
            </w:tcBorders>
            <w:noWrap w:val="0"/>
            <w:vAlign w:val="center"/>
          </w:tcPr>
          <w:p w14:paraId="17A43C8D">
            <w:pPr>
              <w:autoSpaceDE w:val="0"/>
              <w:autoSpaceDN w:val="0"/>
              <w:adjustRightInd w:val="0"/>
              <w:spacing w:line="240" w:lineRule="atLeast"/>
              <w:ind w:firstLine="0" w:firstLineChars="0"/>
              <w:jc w:val="center"/>
              <w:rPr>
                <w:b/>
                <w:bCs/>
                <w:color w:val="auto"/>
                <w:sz w:val="21"/>
                <w:szCs w:val="21"/>
                <w:lang w:val="zh-CN"/>
              </w:rPr>
            </w:pPr>
            <w:r>
              <w:rPr>
                <w:b/>
                <w:bCs/>
                <w:color w:val="auto"/>
                <w:sz w:val="21"/>
                <w:szCs w:val="21"/>
                <w:lang w:val="zh-CN"/>
              </w:rPr>
              <w:t>存在量</w:t>
            </w:r>
            <w:r>
              <w:rPr>
                <w:b/>
                <w:bCs/>
                <w:color w:val="auto"/>
                <w:sz w:val="21"/>
                <w:szCs w:val="21"/>
              </w:rPr>
              <w:t>（</w:t>
            </w:r>
            <w:r>
              <w:rPr>
                <w:b/>
                <w:bCs/>
                <w:color w:val="auto"/>
                <w:sz w:val="21"/>
                <w:szCs w:val="21"/>
                <w:lang w:val="zh-CN"/>
              </w:rPr>
              <w:t>t</w:t>
            </w:r>
            <w:r>
              <w:rPr>
                <w:b/>
                <w:bCs/>
                <w:color w:val="auto"/>
                <w:sz w:val="21"/>
                <w:szCs w:val="21"/>
              </w:rPr>
              <w:t>）</w:t>
            </w:r>
          </w:p>
        </w:tc>
        <w:tc>
          <w:tcPr>
            <w:tcW w:w="1080" w:type="dxa"/>
            <w:tcBorders>
              <w:top w:val="single" w:color="auto" w:sz="6" w:space="0"/>
              <w:left w:val="single" w:color="auto" w:sz="6" w:space="0"/>
              <w:bottom w:val="single" w:color="auto" w:sz="4" w:space="0"/>
              <w:right w:val="single" w:color="auto" w:sz="6" w:space="0"/>
            </w:tcBorders>
            <w:noWrap w:val="0"/>
            <w:vAlign w:val="center"/>
          </w:tcPr>
          <w:p w14:paraId="01045C06">
            <w:pPr>
              <w:autoSpaceDE w:val="0"/>
              <w:autoSpaceDN w:val="0"/>
              <w:adjustRightInd w:val="0"/>
              <w:spacing w:line="240" w:lineRule="atLeast"/>
              <w:ind w:firstLine="0" w:firstLineChars="0"/>
              <w:jc w:val="center"/>
              <w:rPr>
                <w:b/>
                <w:bCs/>
                <w:color w:val="auto"/>
                <w:sz w:val="21"/>
                <w:szCs w:val="21"/>
                <w:lang w:val="zh-CN"/>
              </w:rPr>
            </w:pPr>
            <w:r>
              <w:rPr>
                <w:b/>
                <w:bCs/>
                <w:color w:val="auto"/>
                <w:kern w:val="0"/>
                <w:sz w:val="21"/>
                <w:szCs w:val="21"/>
              </w:rPr>
              <w:t>q</w:t>
            </w:r>
            <w:r>
              <w:rPr>
                <w:b/>
                <w:bCs/>
                <w:color w:val="auto"/>
                <w:kern w:val="0"/>
                <w:sz w:val="21"/>
                <w:szCs w:val="21"/>
                <w:vertAlign w:val="subscript"/>
              </w:rPr>
              <w:t>n</w:t>
            </w:r>
            <w:r>
              <w:rPr>
                <w:b/>
                <w:bCs/>
                <w:color w:val="auto"/>
                <w:kern w:val="0"/>
                <w:sz w:val="21"/>
                <w:szCs w:val="21"/>
              </w:rPr>
              <w:t>/Q</w:t>
            </w:r>
            <w:r>
              <w:rPr>
                <w:b/>
                <w:bCs/>
                <w:color w:val="auto"/>
                <w:kern w:val="0"/>
                <w:sz w:val="21"/>
                <w:szCs w:val="21"/>
                <w:vertAlign w:val="subscript"/>
              </w:rPr>
              <w:t>n</w:t>
            </w:r>
          </w:p>
        </w:tc>
        <w:tc>
          <w:tcPr>
            <w:tcW w:w="870" w:type="dxa"/>
            <w:tcBorders>
              <w:top w:val="single" w:color="auto" w:sz="6" w:space="0"/>
              <w:left w:val="single" w:color="auto" w:sz="6" w:space="0"/>
              <w:bottom w:val="single" w:color="auto" w:sz="4" w:space="0"/>
              <w:right w:val="single" w:color="auto" w:sz="6" w:space="0"/>
            </w:tcBorders>
            <w:noWrap w:val="0"/>
            <w:vAlign w:val="center"/>
          </w:tcPr>
          <w:p w14:paraId="1FDC4D16">
            <w:pPr>
              <w:autoSpaceDE w:val="0"/>
              <w:autoSpaceDN w:val="0"/>
              <w:adjustRightInd w:val="0"/>
              <w:spacing w:line="240" w:lineRule="atLeast"/>
              <w:ind w:firstLine="0" w:firstLineChars="0"/>
              <w:jc w:val="center"/>
              <w:rPr>
                <w:b/>
                <w:bCs/>
                <w:color w:val="auto"/>
                <w:sz w:val="21"/>
                <w:szCs w:val="21"/>
                <w:lang w:val="zh-CN"/>
              </w:rPr>
            </w:pPr>
            <w:r>
              <w:rPr>
                <w:b/>
                <w:bCs/>
                <w:color w:val="auto"/>
                <w:sz w:val="21"/>
                <w:szCs w:val="21"/>
              </w:rPr>
              <w:t>辨识</w:t>
            </w:r>
          </w:p>
        </w:tc>
      </w:tr>
      <w:tr w14:paraId="1930B078">
        <w:tblPrEx>
          <w:tblCellMar>
            <w:top w:w="0" w:type="dxa"/>
            <w:left w:w="108" w:type="dxa"/>
            <w:bottom w:w="0" w:type="dxa"/>
            <w:right w:w="108" w:type="dxa"/>
          </w:tblCellMar>
        </w:tblPrEx>
        <w:trPr>
          <w:trHeight w:val="440" w:hRule="atLeast"/>
          <w:jc w:val="center"/>
        </w:trPr>
        <w:tc>
          <w:tcPr>
            <w:tcW w:w="657" w:type="dxa"/>
            <w:tcBorders>
              <w:left w:val="single" w:color="auto" w:sz="6" w:space="0"/>
              <w:bottom w:val="single" w:color="auto" w:sz="4" w:space="0"/>
              <w:right w:val="single" w:color="auto" w:sz="6" w:space="0"/>
            </w:tcBorders>
            <w:noWrap w:val="0"/>
            <w:vAlign w:val="center"/>
          </w:tcPr>
          <w:p w14:paraId="4D524B95">
            <w:pPr>
              <w:autoSpaceDE w:val="0"/>
              <w:autoSpaceDN w:val="0"/>
              <w:adjustRightInd w:val="0"/>
              <w:spacing w:line="240" w:lineRule="atLeast"/>
              <w:ind w:firstLine="0" w:firstLineChars="0"/>
              <w:jc w:val="center"/>
              <w:rPr>
                <w:rFonts w:hint="eastAsia" w:eastAsia="宋体"/>
                <w:color w:val="auto"/>
                <w:sz w:val="21"/>
                <w:szCs w:val="21"/>
                <w:lang w:val="en-US" w:eastAsia="zh-CN"/>
              </w:rPr>
            </w:pPr>
            <w:r>
              <w:rPr>
                <w:rFonts w:hint="eastAsia"/>
                <w:color w:val="auto"/>
                <w:sz w:val="21"/>
                <w:szCs w:val="21"/>
                <w:lang w:val="en-US" w:eastAsia="zh-CN"/>
              </w:rPr>
              <w:t>1</w:t>
            </w:r>
          </w:p>
        </w:tc>
        <w:tc>
          <w:tcPr>
            <w:tcW w:w="1065" w:type="dxa"/>
            <w:tcBorders>
              <w:left w:val="single" w:color="auto" w:sz="6" w:space="0"/>
              <w:bottom w:val="single" w:color="auto" w:sz="4" w:space="0"/>
              <w:right w:val="single" w:color="auto" w:sz="4" w:space="0"/>
            </w:tcBorders>
            <w:noWrap w:val="0"/>
            <w:vAlign w:val="center"/>
          </w:tcPr>
          <w:p w14:paraId="75828FC4">
            <w:pPr>
              <w:autoSpaceDE w:val="0"/>
              <w:autoSpaceDN w:val="0"/>
              <w:adjustRightInd w:val="0"/>
              <w:spacing w:line="240" w:lineRule="atLeast"/>
              <w:ind w:firstLine="0" w:firstLineChars="0"/>
              <w:jc w:val="center"/>
              <w:rPr>
                <w:rFonts w:hint="default" w:eastAsia="宋体"/>
                <w:color w:val="auto"/>
                <w:sz w:val="21"/>
                <w:szCs w:val="21"/>
                <w:lang w:val="en-US" w:eastAsia="zh-CN"/>
              </w:rPr>
            </w:pPr>
            <w:r>
              <w:rPr>
                <w:rFonts w:hint="eastAsia"/>
                <w:color w:val="auto"/>
                <w:sz w:val="21"/>
                <w:szCs w:val="21"/>
                <w:lang w:val="en-US" w:eastAsia="zh-CN"/>
              </w:rPr>
              <w:t>综合单元</w:t>
            </w:r>
          </w:p>
        </w:tc>
        <w:tc>
          <w:tcPr>
            <w:tcW w:w="861" w:type="dxa"/>
            <w:tcBorders>
              <w:top w:val="single" w:color="auto" w:sz="6" w:space="0"/>
              <w:left w:val="single" w:color="auto" w:sz="4" w:space="0"/>
              <w:bottom w:val="single" w:color="auto" w:sz="4" w:space="0"/>
              <w:right w:val="single" w:color="auto" w:sz="6" w:space="0"/>
            </w:tcBorders>
            <w:noWrap w:val="0"/>
            <w:vAlign w:val="center"/>
          </w:tcPr>
          <w:p w14:paraId="537A5298">
            <w:pPr>
              <w:autoSpaceDE w:val="0"/>
              <w:autoSpaceDN w:val="0"/>
              <w:adjustRightInd w:val="0"/>
              <w:spacing w:line="240" w:lineRule="atLeast"/>
              <w:ind w:firstLine="0" w:firstLineChars="0"/>
              <w:jc w:val="center"/>
              <w:rPr>
                <w:color w:val="auto"/>
                <w:sz w:val="21"/>
                <w:szCs w:val="21"/>
              </w:rPr>
            </w:pPr>
            <w:r>
              <w:rPr>
                <w:color w:val="auto"/>
                <w:sz w:val="21"/>
                <w:szCs w:val="21"/>
              </w:rPr>
              <w:t>柴油</w:t>
            </w:r>
          </w:p>
        </w:tc>
        <w:tc>
          <w:tcPr>
            <w:tcW w:w="1305" w:type="dxa"/>
            <w:tcBorders>
              <w:top w:val="single" w:color="auto" w:sz="6" w:space="0"/>
              <w:left w:val="single" w:color="auto" w:sz="6" w:space="0"/>
              <w:bottom w:val="single" w:color="auto" w:sz="4" w:space="0"/>
              <w:right w:val="single" w:color="auto" w:sz="6" w:space="0"/>
            </w:tcBorders>
            <w:noWrap w:val="0"/>
            <w:vAlign w:val="center"/>
          </w:tcPr>
          <w:p w14:paraId="0DD7BD82">
            <w:pPr>
              <w:autoSpaceDE w:val="0"/>
              <w:autoSpaceDN w:val="0"/>
              <w:adjustRightInd w:val="0"/>
              <w:spacing w:line="240" w:lineRule="atLeast"/>
              <w:ind w:firstLine="0" w:firstLineChars="0"/>
              <w:jc w:val="center"/>
              <w:rPr>
                <w:color w:val="auto"/>
                <w:spacing w:val="-10"/>
                <w:kern w:val="0"/>
                <w:sz w:val="21"/>
                <w:szCs w:val="21"/>
              </w:rPr>
            </w:pPr>
            <w:r>
              <w:rPr>
                <w:color w:val="auto"/>
                <w:sz w:val="21"/>
                <w:szCs w:val="21"/>
                <w:lang w:val="zh-CN"/>
              </w:rPr>
              <w:t>易燃液体</w:t>
            </w:r>
          </w:p>
        </w:tc>
        <w:tc>
          <w:tcPr>
            <w:tcW w:w="1305" w:type="dxa"/>
            <w:tcBorders>
              <w:top w:val="single" w:color="auto" w:sz="6" w:space="0"/>
              <w:left w:val="single" w:color="auto" w:sz="6" w:space="0"/>
              <w:bottom w:val="single" w:color="auto" w:sz="4" w:space="0"/>
              <w:right w:val="single" w:color="auto" w:sz="6" w:space="0"/>
            </w:tcBorders>
            <w:noWrap w:val="0"/>
            <w:vAlign w:val="center"/>
          </w:tcPr>
          <w:p w14:paraId="7702D5D7">
            <w:pPr>
              <w:autoSpaceDE w:val="0"/>
              <w:autoSpaceDN w:val="0"/>
              <w:adjustRightInd w:val="0"/>
              <w:spacing w:line="240" w:lineRule="atLeast"/>
              <w:ind w:firstLine="0" w:firstLineChars="0"/>
              <w:jc w:val="center"/>
              <w:rPr>
                <w:color w:val="auto"/>
                <w:sz w:val="21"/>
                <w:szCs w:val="21"/>
              </w:rPr>
            </w:pPr>
            <w:r>
              <w:rPr>
                <w:color w:val="auto"/>
                <w:sz w:val="21"/>
                <w:szCs w:val="21"/>
              </w:rPr>
              <w:t>5000</w:t>
            </w:r>
          </w:p>
        </w:tc>
        <w:tc>
          <w:tcPr>
            <w:tcW w:w="1275" w:type="dxa"/>
            <w:tcBorders>
              <w:top w:val="single" w:color="auto" w:sz="6" w:space="0"/>
              <w:left w:val="single" w:color="auto" w:sz="6" w:space="0"/>
              <w:bottom w:val="single" w:color="auto" w:sz="4" w:space="0"/>
              <w:right w:val="single" w:color="auto" w:sz="6" w:space="0"/>
            </w:tcBorders>
            <w:noWrap w:val="0"/>
            <w:vAlign w:val="center"/>
          </w:tcPr>
          <w:p w14:paraId="6BC1FDEA">
            <w:pPr>
              <w:autoSpaceDE w:val="0"/>
              <w:autoSpaceDN w:val="0"/>
              <w:adjustRightInd w:val="0"/>
              <w:spacing w:line="240" w:lineRule="atLeast"/>
              <w:ind w:firstLine="0" w:firstLineChars="0"/>
              <w:jc w:val="center"/>
              <w:rPr>
                <w:rFonts w:hint="default" w:eastAsia="宋体"/>
                <w:color w:val="auto"/>
                <w:sz w:val="21"/>
                <w:szCs w:val="21"/>
                <w:lang w:val="en-US" w:eastAsia="zh-CN"/>
              </w:rPr>
            </w:pPr>
            <w:r>
              <w:rPr>
                <w:rFonts w:hint="eastAsia"/>
                <w:color w:val="auto"/>
                <w:sz w:val="21"/>
                <w:szCs w:val="21"/>
                <w:lang w:val="en-US" w:eastAsia="zh-CN"/>
              </w:rPr>
              <w:t>24.225</w:t>
            </w:r>
          </w:p>
        </w:tc>
        <w:tc>
          <w:tcPr>
            <w:tcW w:w="1080" w:type="dxa"/>
            <w:tcBorders>
              <w:top w:val="single" w:color="auto" w:sz="6" w:space="0"/>
              <w:left w:val="single" w:color="auto" w:sz="6" w:space="0"/>
              <w:bottom w:val="single" w:color="auto" w:sz="4" w:space="0"/>
              <w:right w:val="single" w:color="auto" w:sz="6" w:space="0"/>
            </w:tcBorders>
            <w:noWrap w:val="0"/>
            <w:vAlign w:val="center"/>
          </w:tcPr>
          <w:p w14:paraId="303F329B">
            <w:pPr>
              <w:autoSpaceDE w:val="0"/>
              <w:autoSpaceDN w:val="0"/>
              <w:adjustRightInd w:val="0"/>
              <w:spacing w:line="240" w:lineRule="atLeast"/>
              <w:ind w:firstLine="0" w:firstLineChars="0"/>
              <w:jc w:val="center"/>
              <w:rPr>
                <w:rFonts w:hint="default" w:eastAsia="宋体"/>
                <w:color w:val="auto"/>
                <w:kern w:val="0"/>
                <w:sz w:val="21"/>
                <w:szCs w:val="21"/>
                <w:lang w:val="en-US" w:eastAsia="zh-CN"/>
              </w:rPr>
            </w:pPr>
            <w:r>
              <w:rPr>
                <w:color w:val="auto"/>
                <w:kern w:val="0"/>
                <w:sz w:val="21"/>
                <w:szCs w:val="21"/>
              </w:rPr>
              <w:t>0.0</w:t>
            </w:r>
            <w:r>
              <w:rPr>
                <w:rFonts w:hint="eastAsia"/>
                <w:color w:val="auto"/>
                <w:kern w:val="0"/>
                <w:sz w:val="21"/>
                <w:szCs w:val="21"/>
                <w:lang w:val="en-US" w:eastAsia="zh-CN"/>
              </w:rPr>
              <w:t>04845</w:t>
            </w:r>
          </w:p>
        </w:tc>
        <w:tc>
          <w:tcPr>
            <w:tcW w:w="870" w:type="dxa"/>
            <w:tcBorders>
              <w:top w:val="single" w:color="auto" w:sz="6" w:space="0"/>
              <w:left w:val="single" w:color="auto" w:sz="6" w:space="0"/>
              <w:bottom w:val="single" w:color="auto" w:sz="4" w:space="0"/>
              <w:right w:val="single" w:color="auto" w:sz="6" w:space="0"/>
            </w:tcBorders>
            <w:noWrap w:val="0"/>
            <w:vAlign w:val="center"/>
          </w:tcPr>
          <w:p w14:paraId="225F782F">
            <w:pPr>
              <w:autoSpaceDE w:val="0"/>
              <w:autoSpaceDN w:val="0"/>
              <w:adjustRightInd w:val="0"/>
              <w:spacing w:line="240" w:lineRule="atLeast"/>
              <w:ind w:firstLine="0" w:firstLineChars="0"/>
              <w:jc w:val="center"/>
              <w:rPr>
                <w:color w:val="auto"/>
                <w:sz w:val="21"/>
                <w:szCs w:val="21"/>
                <w:lang w:val="zh-CN"/>
              </w:rPr>
            </w:pPr>
            <w:r>
              <w:rPr>
                <w:color w:val="auto"/>
                <w:sz w:val="21"/>
                <w:szCs w:val="21"/>
                <w:lang w:val="zh-CN"/>
              </w:rPr>
              <w:t>＜1</w:t>
            </w:r>
          </w:p>
        </w:tc>
      </w:tr>
      <w:tr w14:paraId="2045DBE0">
        <w:tblPrEx>
          <w:tblCellMar>
            <w:top w:w="0" w:type="dxa"/>
            <w:left w:w="108" w:type="dxa"/>
            <w:bottom w:w="0" w:type="dxa"/>
            <w:right w:w="108" w:type="dxa"/>
          </w:tblCellMar>
        </w:tblPrEx>
        <w:trPr>
          <w:trHeight w:val="431" w:hRule="atLeast"/>
          <w:jc w:val="center"/>
        </w:trPr>
        <w:tc>
          <w:tcPr>
            <w:tcW w:w="1722" w:type="dxa"/>
            <w:gridSpan w:val="2"/>
            <w:tcBorders>
              <w:top w:val="single" w:color="auto" w:sz="6" w:space="0"/>
              <w:left w:val="single" w:color="auto" w:sz="6" w:space="0"/>
              <w:bottom w:val="single" w:color="auto" w:sz="6" w:space="0"/>
              <w:right w:val="single" w:color="auto" w:sz="4" w:space="0"/>
            </w:tcBorders>
            <w:noWrap w:val="0"/>
            <w:vAlign w:val="center"/>
          </w:tcPr>
          <w:p w14:paraId="07F07F53">
            <w:pPr>
              <w:autoSpaceDE w:val="0"/>
              <w:autoSpaceDN w:val="0"/>
              <w:adjustRightInd w:val="0"/>
              <w:spacing w:line="240" w:lineRule="atLeast"/>
              <w:ind w:firstLine="0" w:firstLineChars="0"/>
              <w:jc w:val="center"/>
              <w:rPr>
                <w:color w:val="auto"/>
                <w:sz w:val="21"/>
                <w:szCs w:val="21"/>
                <w:lang w:val="zh-CN"/>
              </w:rPr>
            </w:pPr>
            <w:r>
              <w:rPr>
                <w:color w:val="auto"/>
                <w:sz w:val="21"/>
                <w:szCs w:val="21"/>
                <w:lang w:val="zh-CN"/>
              </w:rPr>
              <w:t>合计</w:t>
            </w:r>
          </w:p>
        </w:tc>
        <w:tc>
          <w:tcPr>
            <w:tcW w:w="6696" w:type="dxa"/>
            <w:gridSpan w:val="6"/>
            <w:tcBorders>
              <w:top w:val="single" w:color="auto" w:sz="6" w:space="0"/>
              <w:left w:val="single" w:color="auto" w:sz="4" w:space="0"/>
              <w:bottom w:val="single" w:color="auto" w:sz="6" w:space="0"/>
              <w:right w:val="single" w:color="auto" w:sz="4" w:space="0"/>
            </w:tcBorders>
            <w:noWrap w:val="0"/>
            <w:vAlign w:val="center"/>
          </w:tcPr>
          <w:p w14:paraId="62AF13A5">
            <w:pPr>
              <w:autoSpaceDE w:val="0"/>
              <w:autoSpaceDN w:val="0"/>
              <w:adjustRightInd w:val="0"/>
              <w:spacing w:line="240" w:lineRule="atLeast"/>
              <w:ind w:firstLine="0" w:firstLineChars="0"/>
              <w:jc w:val="center"/>
              <w:rPr>
                <w:color w:val="auto"/>
                <w:kern w:val="0"/>
                <w:sz w:val="21"/>
                <w:szCs w:val="21"/>
              </w:rPr>
            </w:pPr>
            <w:r>
              <w:rPr>
                <w:color w:val="auto"/>
                <w:kern w:val="0"/>
                <w:sz w:val="21"/>
                <w:szCs w:val="21"/>
              </w:rPr>
              <w:t>q</w:t>
            </w:r>
            <w:r>
              <w:rPr>
                <w:color w:val="auto"/>
                <w:kern w:val="0"/>
                <w:sz w:val="21"/>
                <w:szCs w:val="21"/>
                <w:vertAlign w:val="subscript"/>
              </w:rPr>
              <w:t>n</w:t>
            </w:r>
            <w:r>
              <w:rPr>
                <w:color w:val="auto"/>
                <w:kern w:val="0"/>
                <w:sz w:val="21"/>
                <w:szCs w:val="21"/>
              </w:rPr>
              <w:t>/Q</w:t>
            </w:r>
            <w:r>
              <w:rPr>
                <w:color w:val="auto"/>
                <w:kern w:val="0"/>
                <w:sz w:val="21"/>
                <w:szCs w:val="21"/>
                <w:vertAlign w:val="subscript"/>
              </w:rPr>
              <w:t>n</w:t>
            </w:r>
            <w:r>
              <w:rPr>
                <w:rFonts w:hint="eastAsia"/>
                <w:color w:val="auto"/>
                <w:kern w:val="0"/>
                <w:sz w:val="21"/>
                <w:szCs w:val="21"/>
                <w:lang w:val="en-US" w:eastAsia="zh-CN"/>
              </w:rPr>
              <w:t>=0.004845</w:t>
            </w:r>
            <w:r>
              <w:rPr>
                <w:color w:val="auto"/>
                <w:sz w:val="21"/>
                <w:szCs w:val="21"/>
              </w:rPr>
              <w:t>＜1，不构成重大危险源</w:t>
            </w:r>
          </w:p>
        </w:tc>
      </w:tr>
    </w:tbl>
    <w:p w14:paraId="089D9FD0">
      <w:pPr>
        <w:bidi w:val="0"/>
        <w:rPr>
          <w:rFonts w:hint="default"/>
          <w:lang w:val="en-US" w:eastAsia="zh-CN"/>
        </w:rPr>
      </w:pPr>
      <w:r>
        <w:rPr>
          <w:rFonts w:hint="default"/>
          <w:lang w:val="en-US" w:eastAsia="zh-CN"/>
        </w:rPr>
        <w:t>由上表可知，该项目柴油最大在线存在量未超过《危险化学品重大危险源辨识》规定的临界量，因此，该项目</w:t>
      </w:r>
      <w:r>
        <w:rPr>
          <w:rFonts w:hint="default"/>
          <w:b/>
          <w:bCs/>
          <w:lang w:val="en-US" w:eastAsia="zh-CN"/>
        </w:rPr>
        <w:t>不构成重大危险源。</w:t>
      </w:r>
    </w:p>
    <w:p w14:paraId="67B12D0E">
      <w:pPr>
        <w:pStyle w:val="3"/>
        <w:bidi w:val="0"/>
        <w:rPr>
          <w:rFonts w:hint="default"/>
          <w:lang w:val="en-US" w:eastAsia="zh-CN"/>
        </w:rPr>
      </w:pPr>
      <w:bookmarkStart w:id="53" w:name="_Toc23953"/>
      <w:r>
        <w:rPr>
          <w:rFonts w:hint="default"/>
          <w:lang w:val="en-US" w:eastAsia="zh-CN"/>
        </w:rPr>
        <w:t>3.6 重点监管的危险化学品辨识</w:t>
      </w:r>
      <w:bookmarkEnd w:id="53"/>
    </w:p>
    <w:p w14:paraId="27F23E7F">
      <w:pPr>
        <w:rPr>
          <w:rFonts w:hint="default"/>
          <w:lang w:val="en-US" w:eastAsia="zh-CN"/>
        </w:rPr>
      </w:pPr>
      <w:r>
        <w:rPr>
          <w:rFonts w:hint="default"/>
          <w:lang w:val="en-US" w:eastAsia="zh-CN"/>
        </w:rPr>
        <w:t>根据《国家安全监管总局关于公布首批重点监管的危险化学品名录的通知》（安监总管三【2011】95号），《国家安全监管总局关于公布第二批重点监管的危险化学品名录的通知》（安监总管三【2013】12号）的规定进行辨识，该项目涉及的物质不属于重点监管的危险化学品。</w:t>
      </w:r>
    </w:p>
    <w:p w14:paraId="3C9BE523">
      <w:pPr>
        <w:pStyle w:val="3"/>
        <w:bidi w:val="0"/>
        <w:rPr>
          <w:rFonts w:hint="default"/>
          <w:lang w:val="en-US" w:eastAsia="zh-CN"/>
        </w:rPr>
      </w:pPr>
      <w:bookmarkStart w:id="54" w:name="_Toc31798"/>
      <w:r>
        <w:rPr>
          <w:rFonts w:hint="default"/>
          <w:lang w:val="en-US" w:eastAsia="zh-CN"/>
        </w:rPr>
        <w:t>3.7 危险化工工艺辨识</w:t>
      </w:r>
      <w:bookmarkEnd w:id="54"/>
    </w:p>
    <w:p w14:paraId="2F628BA6">
      <w:pPr>
        <w:rPr>
          <w:rFonts w:hint="default"/>
          <w:lang w:val="en-US" w:eastAsia="zh-CN"/>
        </w:rPr>
      </w:pPr>
      <w:r>
        <w:rPr>
          <w:rFonts w:hint="default"/>
          <w:lang w:val="en-US" w:eastAsia="zh-CN"/>
        </w:rPr>
        <w:t>根据《首批重点监管的危险化工工艺目录》安监总管三〔2009〕116号及《第二批重点监管的危险化工工艺目录》安监总管三〔2013〕3号，该项目工艺不属于《重点监管的危险化工工艺目录》中列举的重点监管的危险化工工艺。</w:t>
      </w:r>
    </w:p>
    <w:p w14:paraId="5CD00597">
      <w:pPr>
        <w:rPr>
          <w:rFonts w:hint="default"/>
          <w:lang w:val="en-US" w:eastAsia="zh-CN"/>
        </w:rPr>
      </w:pPr>
    </w:p>
    <w:p w14:paraId="41D33987">
      <w:pPr>
        <w:rPr>
          <w:rFonts w:hint="default"/>
          <w:lang w:val="en-US" w:eastAsia="zh-CN"/>
        </w:rPr>
      </w:pPr>
      <w:r>
        <w:rPr>
          <w:rFonts w:hint="default"/>
          <w:lang w:val="en-US" w:eastAsia="zh-CN"/>
        </w:rPr>
        <w:br w:type="page"/>
      </w:r>
    </w:p>
    <w:p w14:paraId="58B650EB">
      <w:pPr>
        <w:pStyle w:val="2"/>
        <w:numPr>
          <w:ilvl w:val="0"/>
          <w:numId w:val="1"/>
        </w:numPr>
        <w:bidi w:val="0"/>
        <w:ind w:left="0" w:leftChars="0" w:firstLine="0" w:firstLineChars="0"/>
        <w:rPr>
          <w:rFonts w:hint="default"/>
          <w:color w:val="auto"/>
          <w:lang w:val="en-US" w:eastAsia="zh-CN"/>
        </w:rPr>
      </w:pPr>
      <w:bookmarkStart w:id="55" w:name="_Toc20942"/>
      <w:r>
        <w:rPr>
          <w:rFonts w:hint="default"/>
          <w:color w:val="auto"/>
          <w:lang w:val="en-US" w:eastAsia="zh-CN"/>
        </w:rPr>
        <w:t>安全对策措施落实及试运行</w:t>
      </w:r>
      <w:bookmarkEnd w:id="55"/>
    </w:p>
    <w:p w14:paraId="5A087B21">
      <w:pPr>
        <w:pStyle w:val="3"/>
        <w:bidi w:val="0"/>
        <w:rPr>
          <w:rFonts w:hint="default"/>
          <w:lang w:val="en-US" w:eastAsia="zh-CN"/>
        </w:rPr>
      </w:pPr>
      <w:bookmarkStart w:id="56" w:name="_Toc3612"/>
      <w:r>
        <w:rPr>
          <w:rFonts w:hint="eastAsia"/>
          <w:lang w:val="en-US" w:eastAsia="zh-CN"/>
        </w:rPr>
        <w:t>4.1 安全对策措施落实情况</w:t>
      </w:r>
      <w:bookmarkEnd w:id="56"/>
    </w:p>
    <w:p w14:paraId="65A92034">
      <w:pPr>
        <w:rPr>
          <w:rFonts w:hint="default"/>
          <w:lang w:val="en-US" w:eastAsia="zh-CN"/>
        </w:rPr>
      </w:pPr>
      <w:r>
        <w:rPr>
          <w:rFonts w:hint="default"/>
          <w:lang w:val="en-US" w:eastAsia="zh-CN"/>
        </w:rPr>
        <w:t>本节对安全设施设计中提出的对策措施和建议，以检查表的形式逐项检查落实情况，详见表4.1-1。</w:t>
      </w:r>
    </w:p>
    <w:p w14:paraId="1D210B6A">
      <w:pPr>
        <w:ind w:left="0" w:leftChars="0" w:firstLine="0" w:firstLineChars="0"/>
        <w:jc w:val="center"/>
        <w:rPr>
          <w:rFonts w:hint="default"/>
          <w:lang w:val="en-US" w:eastAsia="zh-CN"/>
        </w:rPr>
      </w:pPr>
      <w:r>
        <w:rPr>
          <w:rFonts w:hint="default"/>
          <w:lang w:val="en-US" w:eastAsia="zh-CN"/>
        </w:rPr>
        <w:t>表4.1-1 安全设施设计提出的安全对策措施落实情况一览表</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8"/>
        <w:gridCol w:w="1223"/>
        <w:gridCol w:w="795"/>
      </w:tblGrid>
      <w:tr w14:paraId="4ECB1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7268" w:type="dxa"/>
            <w:noWrap w:val="0"/>
            <w:vAlign w:val="center"/>
          </w:tcPr>
          <w:p w14:paraId="088749FC">
            <w:pPr>
              <w:pStyle w:val="43"/>
              <w:keepNext w:val="0"/>
              <w:keepLines w:val="0"/>
              <w:pageBreakBefore w:val="0"/>
              <w:widowControl w:val="0"/>
              <w:kinsoku/>
              <w:wordWrap/>
              <w:overflowPunct/>
              <w:topLinePunct w:val="0"/>
              <w:autoSpaceDE/>
              <w:autoSpaceDN/>
              <w:bidi w:val="0"/>
              <w:spacing w:line="320" w:lineRule="exact"/>
              <w:jc w:val="center"/>
              <w:textAlignment w:val="auto"/>
              <w:rPr>
                <w:rFonts w:hint="eastAsia"/>
                <w:b/>
                <w:bCs/>
                <w:color w:val="auto"/>
              </w:rPr>
            </w:pPr>
            <w:r>
              <w:rPr>
                <w:rFonts w:hint="eastAsia"/>
                <w:b/>
                <w:bCs/>
                <w:color w:val="auto"/>
              </w:rPr>
              <w:t>安全设施设计内容</w:t>
            </w:r>
          </w:p>
        </w:tc>
        <w:tc>
          <w:tcPr>
            <w:tcW w:w="1223" w:type="dxa"/>
            <w:noWrap w:val="0"/>
            <w:vAlign w:val="center"/>
          </w:tcPr>
          <w:p w14:paraId="45722FB3">
            <w:pPr>
              <w:pStyle w:val="43"/>
              <w:keepNext w:val="0"/>
              <w:keepLines w:val="0"/>
              <w:pageBreakBefore w:val="0"/>
              <w:widowControl w:val="0"/>
              <w:kinsoku/>
              <w:wordWrap/>
              <w:overflowPunct/>
              <w:topLinePunct w:val="0"/>
              <w:autoSpaceDE/>
              <w:autoSpaceDN/>
              <w:bidi w:val="0"/>
              <w:spacing w:line="320" w:lineRule="exact"/>
              <w:jc w:val="center"/>
              <w:textAlignment w:val="auto"/>
              <w:rPr>
                <w:b/>
                <w:bCs/>
                <w:color w:val="auto"/>
              </w:rPr>
            </w:pPr>
            <w:r>
              <w:rPr>
                <w:rFonts w:hint="eastAsia"/>
                <w:b/>
                <w:bCs/>
                <w:color w:val="auto"/>
              </w:rPr>
              <w:t>现场采用情况</w:t>
            </w:r>
          </w:p>
        </w:tc>
        <w:tc>
          <w:tcPr>
            <w:tcW w:w="795" w:type="dxa"/>
            <w:noWrap w:val="0"/>
            <w:vAlign w:val="center"/>
          </w:tcPr>
          <w:p w14:paraId="68DA5BA6">
            <w:pPr>
              <w:pStyle w:val="43"/>
              <w:keepNext w:val="0"/>
              <w:keepLines w:val="0"/>
              <w:pageBreakBefore w:val="0"/>
              <w:widowControl w:val="0"/>
              <w:kinsoku/>
              <w:wordWrap/>
              <w:overflowPunct/>
              <w:topLinePunct w:val="0"/>
              <w:autoSpaceDE/>
              <w:autoSpaceDN/>
              <w:bidi w:val="0"/>
              <w:spacing w:before="0" w:after="0" w:line="320" w:lineRule="exact"/>
              <w:ind w:firstLine="0" w:firstLineChars="0"/>
              <w:textAlignment w:val="auto"/>
              <w:rPr>
                <w:b/>
                <w:bCs/>
                <w:color w:val="auto"/>
              </w:rPr>
            </w:pPr>
            <w:r>
              <w:rPr>
                <w:rFonts w:hint="eastAsia"/>
                <w:b/>
                <w:bCs/>
                <w:color w:val="auto"/>
              </w:rPr>
              <w:t>是否采纳</w:t>
            </w:r>
          </w:p>
        </w:tc>
      </w:tr>
      <w:tr w14:paraId="68B5B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9286" w:type="dxa"/>
            <w:gridSpan w:val="3"/>
            <w:tcBorders>
              <w:bottom w:val="single" w:color="auto" w:sz="4" w:space="0"/>
            </w:tcBorders>
            <w:noWrap w:val="0"/>
            <w:vAlign w:val="top"/>
          </w:tcPr>
          <w:p w14:paraId="2797FB7D">
            <w:pPr>
              <w:pStyle w:val="43"/>
              <w:keepNext w:val="0"/>
              <w:keepLines w:val="0"/>
              <w:pageBreakBefore w:val="0"/>
              <w:widowControl w:val="0"/>
              <w:kinsoku/>
              <w:wordWrap/>
              <w:overflowPunct/>
              <w:topLinePunct w:val="0"/>
              <w:autoSpaceDE/>
              <w:autoSpaceDN/>
              <w:bidi w:val="0"/>
              <w:spacing w:before="0" w:after="0" w:line="320" w:lineRule="exact"/>
              <w:ind w:firstLine="0" w:firstLineChars="0"/>
              <w:textAlignment w:val="auto"/>
              <w:rPr>
                <w:color w:val="auto"/>
              </w:rPr>
            </w:pPr>
            <w:bookmarkStart w:id="57" w:name="_Toc18856"/>
            <w:bookmarkStart w:id="58" w:name="_Toc8158"/>
            <w:r>
              <w:rPr>
                <w:b/>
                <w:bCs/>
                <w:color w:val="auto"/>
              </w:rPr>
              <w:t>4.1 工艺系统</w:t>
            </w:r>
            <w:bookmarkEnd w:id="57"/>
            <w:bookmarkEnd w:id="58"/>
          </w:p>
        </w:tc>
      </w:tr>
      <w:tr w14:paraId="287F3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286" w:type="dxa"/>
            <w:gridSpan w:val="3"/>
            <w:tcBorders>
              <w:top w:val="single" w:color="auto" w:sz="4" w:space="0"/>
              <w:left w:val="single" w:color="auto" w:sz="4" w:space="0"/>
              <w:bottom w:val="single" w:color="auto" w:sz="4" w:space="0"/>
              <w:right w:val="single" w:color="auto" w:sz="4" w:space="0"/>
            </w:tcBorders>
            <w:noWrap w:val="0"/>
            <w:vAlign w:val="top"/>
          </w:tcPr>
          <w:p w14:paraId="290C146D">
            <w:pPr>
              <w:pStyle w:val="43"/>
              <w:keepNext w:val="0"/>
              <w:keepLines w:val="0"/>
              <w:pageBreakBefore w:val="0"/>
              <w:widowControl w:val="0"/>
              <w:kinsoku/>
              <w:wordWrap/>
              <w:overflowPunct/>
              <w:topLinePunct w:val="0"/>
              <w:autoSpaceDE/>
              <w:autoSpaceDN/>
              <w:bidi w:val="0"/>
              <w:spacing w:before="0" w:after="0" w:line="320" w:lineRule="exact"/>
              <w:ind w:firstLine="0" w:firstLineChars="0"/>
              <w:textAlignment w:val="auto"/>
              <w:rPr>
                <w:rFonts w:hint="eastAsia"/>
                <w:b/>
                <w:bCs/>
                <w:color w:val="auto"/>
              </w:rPr>
            </w:pPr>
            <w:r>
              <w:rPr>
                <w:rFonts w:hint="eastAsia"/>
                <w:b/>
                <w:bCs/>
                <w:color w:val="auto"/>
              </w:rPr>
              <w:t>4.1.1</w:t>
            </w:r>
            <w:r>
              <w:rPr>
                <w:rFonts w:hint="eastAsia"/>
                <w:b/>
                <w:bCs/>
                <w:color w:val="auto"/>
                <w:lang w:val="en-US" w:eastAsia="zh-CN"/>
              </w:rPr>
              <w:t xml:space="preserve"> </w:t>
            </w:r>
            <w:r>
              <w:rPr>
                <w:rFonts w:hint="eastAsia"/>
                <w:b/>
                <w:bCs/>
                <w:color w:val="auto"/>
              </w:rPr>
              <w:t>工艺过程采取的防泄漏、防火、防爆、防尘、防毒、防腐蚀等主要措施</w:t>
            </w:r>
          </w:p>
        </w:tc>
      </w:tr>
      <w:tr w14:paraId="12E4F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8" w:hRule="atLeast"/>
          <w:jc w:val="center"/>
        </w:trPr>
        <w:tc>
          <w:tcPr>
            <w:tcW w:w="7268" w:type="dxa"/>
            <w:tcBorders>
              <w:top w:val="single" w:color="auto" w:sz="4" w:space="0"/>
            </w:tcBorders>
            <w:noWrap w:val="0"/>
            <w:vAlign w:val="top"/>
          </w:tcPr>
          <w:p w14:paraId="218BD0DA">
            <w:pPr>
              <w:pStyle w:val="43"/>
              <w:keepNext w:val="0"/>
              <w:keepLines w:val="0"/>
              <w:pageBreakBefore w:val="0"/>
              <w:widowControl w:val="0"/>
              <w:kinsoku/>
              <w:wordWrap/>
              <w:overflowPunct/>
              <w:topLinePunct w:val="0"/>
              <w:autoSpaceDE/>
              <w:autoSpaceDN/>
              <w:bidi w:val="0"/>
              <w:spacing w:line="320" w:lineRule="exact"/>
              <w:jc w:val="both"/>
              <w:textAlignment w:val="auto"/>
              <w:rPr>
                <w:rFonts w:hint="eastAsia"/>
              </w:rPr>
            </w:pPr>
            <w:r>
              <w:rPr>
                <w:rFonts w:hint="eastAsia"/>
              </w:rPr>
              <w:t>1、防泄漏</w:t>
            </w:r>
          </w:p>
          <w:p w14:paraId="4ABBCFCC">
            <w:pPr>
              <w:pStyle w:val="43"/>
              <w:keepNext w:val="0"/>
              <w:keepLines w:val="0"/>
              <w:pageBreakBefore w:val="0"/>
              <w:widowControl w:val="0"/>
              <w:kinsoku/>
              <w:wordWrap/>
              <w:overflowPunct/>
              <w:topLinePunct w:val="0"/>
              <w:autoSpaceDE/>
              <w:autoSpaceDN/>
              <w:bidi w:val="0"/>
              <w:spacing w:line="320" w:lineRule="exact"/>
              <w:ind w:firstLine="420" w:firstLineChars="200"/>
              <w:jc w:val="both"/>
              <w:textAlignment w:val="auto"/>
              <w:rPr>
                <w:rFonts w:hint="eastAsia"/>
              </w:rPr>
            </w:pPr>
            <w:r>
              <w:rPr>
                <w:rFonts w:hint="eastAsia"/>
              </w:rPr>
              <w:t>（1）装置采用双壁油罐，单隔仓15m³，设2个隔仓；</w:t>
            </w:r>
          </w:p>
          <w:p w14:paraId="0585FD77">
            <w:pPr>
              <w:pStyle w:val="43"/>
              <w:keepNext w:val="0"/>
              <w:keepLines w:val="0"/>
              <w:pageBreakBefore w:val="0"/>
              <w:widowControl w:val="0"/>
              <w:kinsoku/>
              <w:wordWrap/>
              <w:overflowPunct/>
              <w:topLinePunct w:val="0"/>
              <w:autoSpaceDE/>
              <w:autoSpaceDN/>
              <w:bidi w:val="0"/>
              <w:spacing w:line="320" w:lineRule="exact"/>
              <w:ind w:firstLine="420" w:firstLineChars="200"/>
              <w:jc w:val="both"/>
              <w:textAlignment w:val="auto"/>
              <w:rPr>
                <w:rFonts w:hint="eastAsia"/>
              </w:rPr>
            </w:pPr>
            <w:r>
              <w:rPr>
                <w:rFonts w:hint="eastAsia"/>
              </w:rPr>
              <w:t>（2）双层罐壁之间的底部、出油管最低点设置漏油监测装置；</w:t>
            </w:r>
          </w:p>
          <w:p w14:paraId="3A759673">
            <w:pPr>
              <w:pStyle w:val="43"/>
              <w:keepNext w:val="0"/>
              <w:keepLines w:val="0"/>
              <w:pageBreakBefore w:val="0"/>
              <w:widowControl w:val="0"/>
              <w:kinsoku/>
              <w:wordWrap/>
              <w:overflowPunct/>
              <w:topLinePunct w:val="0"/>
              <w:autoSpaceDE/>
              <w:autoSpaceDN/>
              <w:bidi w:val="0"/>
              <w:spacing w:line="320" w:lineRule="exact"/>
              <w:ind w:firstLine="420" w:firstLineChars="200"/>
              <w:jc w:val="both"/>
              <w:textAlignment w:val="auto"/>
              <w:rPr>
                <w:rFonts w:hint="eastAsia"/>
              </w:rPr>
            </w:pPr>
            <w:r>
              <w:rPr>
                <w:rFonts w:hint="eastAsia"/>
              </w:rPr>
              <w:t>（3）油罐采用上部进油方式，进油管伸入油罐底部50mm，进油立管的底端采用45</w:t>
            </w:r>
            <w:r>
              <w:rPr>
                <w:rFonts w:hint="eastAsia" w:ascii="Times New Roman" w:hAnsi="Times New Roman" w:eastAsia="宋体" w:cs="Times New Roman"/>
                <w:color w:val="auto"/>
                <w:kern w:val="18"/>
                <w:sz w:val="21"/>
                <w:szCs w:val="21"/>
                <w:lang w:val="en-US" w:eastAsia="zh-CN" w:bidi="ar-SA"/>
              </w:rPr>
              <w:t>°</w:t>
            </w:r>
            <w:r>
              <w:rPr>
                <w:rFonts w:hint="eastAsia"/>
              </w:rPr>
              <w:t>斜管口，防溢流装置设置于进油管道上，当液位上升到危险值时关闭，液位在安全值时打开；</w:t>
            </w:r>
          </w:p>
          <w:p w14:paraId="00E710E8">
            <w:pPr>
              <w:pStyle w:val="43"/>
              <w:keepNext w:val="0"/>
              <w:keepLines w:val="0"/>
              <w:pageBreakBefore w:val="0"/>
              <w:widowControl w:val="0"/>
              <w:kinsoku/>
              <w:wordWrap/>
              <w:overflowPunct/>
              <w:topLinePunct w:val="0"/>
              <w:autoSpaceDE/>
              <w:autoSpaceDN/>
              <w:bidi w:val="0"/>
              <w:spacing w:line="320" w:lineRule="exact"/>
              <w:ind w:firstLine="420" w:firstLineChars="200"/>
              <w:jc w:val="both"/>
              <w:textAlignment w:val="auto"/>
              <w:rPr>
                <w:rFonts w:hint="eastAsia" w:eastAsia="宋体"/>
                <w:lang w:eastAsia="zh-CN"/>
              </w:rPr>
            </w:pPr>
            <w:r>
              <w:rPr>
                <w:rFonts w:hint="eastAsia"/>
              </w:rPr>
              <w:t>（4）油罐设置了高液位报警，当油料达到油罐容量的90%时，能触动高液位报警装置；当油料达到油罐容量的95%时，卸油管线处设置的卸油防溢阀能自动停止油料继续进入油罐</w:t>
            </w:r>
            <w:r>
              <w:rPr>
                <w:rFonts w:hint="eastAsia"/>
                <w:lang w:eastAsia="zh-CN"/>
              </w:rPr>
              <w:t>；</w:t>
            </w:r>
          </w:p>
          <w:p w14:paraId="3F748BEA">
            <w:pPr>
              <w:pStyle w:val="43"/>
              <w:keepNext w:val="0"/>
              <w:keepLines w:val="0"/>
              <w:pageBreakBefore w:val="0"/>
              <w:widowControl w:val="0"/>
              <w:kinsoku/>
              <w:wordWrap/>
              <w:overflowPunct/>
              <w:topLinePunct w:val="0"/>
              <w:autoSpaceDE/>
              <w:autoSpaceDN/>
              <w:bidi w:val="0"/>
              <w:spacing w:line="320" w:lineRule="exact"/>
              <w:ind w:firstLine="420" w:firstLineChars="200"/>
              <w:jc w:val="both"/>
              <w:textAlignment w:val="auto"/>
              <w:rPr>
                <w:rFonts w:hint="eastAsia"/>
              </w:rPr>
            </w:pPr>
            <w:r>
              <w:rPr>
                <w:rFonts w:hint="eastAsia"/>
              </w:rPr>
              <w:t>（5）油管卸油软管接头采用自闭式快速接头；</w:t>
            </w:r>
          </w:p>
          <w:p w14:paraId="6B924B49">
            <w:pPr>
              <w:pStyle w:val="43"/>
              <w:keepNext w:val="0"/>
              <w:keepLines w:val="0"/>
              <w:pageBreakBefore w:val="0"/>
              <w:widowControl w:val="0"/>
              <w:kinsoku/>
              <w:wordWrap/>
              <w:overflowPunct/>
              <w:topLinePunct w:val="0"/>
              <w:autoSpaceDE/>
              <w:autoSpaceDN/>
              <w:bidi w:val="0"/>
              <w:spacing w:line="320" w:lineRule="exact"/>
              <w:ind w:firstLine="420" w:firstLineChars="200"/>
              <w:jc w:val="both"/>
              <w:textAlignment w:val="auto"/>
              <w:rPr>
                <w:rFonts w:hint="eastAsia"/>
              </w:rPr>
            </w:pPr>
            <w:r>
              <w:rPr>
                <w:rFonts w:hint="eastAsia"/>
              </w:rPr>
              <w:t>（6）卸油管道、进油管道、出油管道采用20#钢材质，加油机加油管道采用导电性的KPS管；</w:t>
            </w:r>
          </w:p>
          <w:p w14:paraId="6E3C83FE">
            <w:pPr>
              <w:pStyle w:val="43"/>
              <w:keepNext w:val="0"/>
              <w:keepLines w:val="0"/>
              <w:pageBreakBefore w:val="0"/>
              <w:widowControl w:val="0"/>
              <w:kinsoku/>
              <w:wordWrap/>
              <w:overflowPunct/>
              <w:topLinePunct w:val="0"/>
              <w:autoSpaceDE/>
              <w:autoSpaceDN/>
              <w:bidi w:val="0"/>
              <w:spacing w:line="320" w:lineRule="exact"/>
              <w:ind w:firstLine="420" w:firstLineChars="200"/>
              <w:jc w:val="both"/>
              <w:textAlignment w:val="auto"/>
              <w:rPr>
                <w:rFonts w:hint="eastAsia"/>
              </w:rPr>
            </w:pPr>
            <w:r>
              <w:rPr>
                <w:rFonts w:hint="eastAsia"/>
              </w:rPr>
              <w:t>（7）自用撬装加油装置的油罐设置有高液位报警器、液位计、自动灭火装置、紧急泄压装置、防溢流装置。油罐出油管道设置有高温自动断油保护阀。</w:t>
            </w:r>
          </w:p>
          <w:p w14:paraId="0C2911A7">
            <w:pPr>
              <w:pStyle w:val="43"/>
              <w:keepNext w:val="0"/>
              <w:keepLines w:val="0"/>
              <w:pageBreakBefore w:val="0"/>
              <w:widowControl w:val="0"/>
              <w:kinsoku/>
              <w:wordWrap/>
              <w:overflowPunct/>
              <w:topLinePunct w:val="0"/>
              <w:autoSpaceDE/>
              <w:autoSpaceDN/>
              <w:bidi w:val="0"/>
              <w:spacing w:line="320" w:lineRule="exact"/>
              <w:ind w:firstLine="420" w:firstLineChars="200"/>
              <w:jc w:val="both"/>
              <w:textAlignment w:val="auto"/>
              <w:rPr>
                <w:rFonts w:hint="eastAsia"/>
              </w:rPr>
            </w:pPr>
            <w:r>
              <w:rPr>
                <w:rFonts w:hint="eastAsia"/>
              </w:rPr>
              <w:t>（8）自用撬装加油装置设置了卸油油气回收系统。</w:t>
            </w:r>
          </w:p>
          <w:p w14:paraId="4C5B1B46">
            <w:pPr>
              <w:pStyle w:val="43"/>
              <w:keepNext w:val="0"/>
              <w:keepLines w:val="0"/>
              <w:pageBreakBefore w:val="0"/>
              <w:widowControl w:val="0"/>
              <w:kinsoku/>
              <w:wordWrap/>
              <w:overflowPunct/>
              <w:topLinePunct w:val="0"/>
              <w:autoSpaceDE/>
              <w:autoSpaceDN/>
              <w:bidi w:val="0"/>
              <w:spacing w:line="320" w:lineRule="exact"/>
              <w:ind w:firstLine="420" w:firstLineChars="200"/>
              <w:jc w:val="both"/>
              <w:textAlignment w:val="auto"/>
              <w:rPr>
                <w:rFonts w:hint="eastAsia"/>
              </w:rPr>
            </w:pPr>
            <w:r>
              <w:rPr>
                <w:rFonts w:hint="eastAsia"/>
              </w:rPr>
              <w:t>（9）设备、管道按要求做防腐，以减少腐蚀带来的泄漏；</w:t>
            </w:r>
          </w:p>
          <w:p w14:paraId="3FBB1395">
            <w:pPr>
              <w:pStyle w:val="43"/>
              <w:keepNext w:val="0"/>
              <w:keepLines w:val="0"/>
              <w:pageBreakBefore w:val="0"/>
              <w:widowControl w:val="0"/>
              <w:kinsoku/>
              <w:wordWrap/>
              <w:overflowPunct/>
              <w:topLinePunct w:val="0"/>
              <w:autoSpaceDE/>
              <w:autoSpaceDN/>
              <w:bidi w:val="0"/>
              <w:spacing w:line="320" w:lineRule="exact"/>
              <w:ind w:firstLine="420" w:firstLineChars="200"/>
              <w:jc w:val="both"/>
              <w:textAlignment w:val="auto"/>
              <w:rPr>
                <w:rFonts w:hint="eastAsia"/>
              </w:rPr>
            </w:pPr>
            <w:r>
              <w:rPr>
                <w:rFonts w:hint="eastAsia"/>
              </w:rPr>
              <w:t>（10）加油机采用自封式加油机枪，当汽车油箱加满油时，可以自动关闭加油枪，防止油品溢油。</w:t>
            </w:r>
          </w:p>
          <w:p w14:paraId="130F0CBA">
            <w:pPr>
              <w:pStyle w:val="43"/>
              <w:keepNext w:val="0"/>
              <w:keepLines w:val="0"/>
              <w:pageBreakBefore w:val="0"/>
              <w:widowControl w:val="0"/>
              <w:kinsoku/>
              <w:wordWrap/>
              <w:overflowPunct/>
              <w:topLinePunct w:val="0"/>
              <w:autoSpaceDE/>
              <w:autoSpaceDN/>
              <w:bidi w:val="0"/>
              <w:spacing w:line="320" w:lineRule="exact"/>
              <w:ind w:firstLine="420" w:firstLineChars="200"/>
              <w:jc w:val="both"/>
              <w:textAlignment w:val="auto"/>
              <w:rPr>
                <w:rFonts w:hint="eastAsia"/>
              </w:rPr>
            </w:pPr>
            <w:r>
              <w:rPr>
                <w:rFonts w:hint="eastAsia"/>
              </w:rPr>
              <w:t>（11）依据现行国家标准《燃油加油站防爆安全技术第3部分：剪切阀结构和性能的安全要求》GB/T22380.3-2019的规定，安全拉断阀的分离拉力为800N～1500N。加油站油枪或加油软管上设有拉断阀，可预防车辆加完油后，忘记将加油枪从油箱口移开就开车，而导致加油软管被拉断或加油机被拉倒，出现泄漏事故。</w:t>
            </w:r>
          </w:p>
          <w:p w14:paraId="2D080859">
            <w:pPr>
              <w:pStyle w:val="43"/>
              <w:keepNext w:val="0"/>
              <w:keepLines w:val="0"/>
              <w:pageBreakBefore w:val="0"/>
              <w:widowControl w:val="0"/>
              <w:kinsoku/>
              <w:wordWrap/>
              <w:overflowPunct/>
              <w:topLinePunct w:val="0"/>
              <w:autoSpaceDE/>
              <w:autoSpaceDN/>
              <w:bidi w:val="0"/>
              <w:spacing w:line="320" w:lineRule="exact"/>
              <w:ind w:firstLine="420" w:firstLineChars="200"/>
              <w:jc w:val="both"/>
              <w:textAlignment w:val="auto"/>
              <w:rPr>
                <w:rFonts w:hint="eastAsia"/>
              </w:rPr>
            </w:pPr>
            <w:r>
              <w:rPr>
                <w:rFonts w:hint="eastAsia"/>
              </w:rPr>
              <w:t>（12）在加油机底部与供油立管的连接处设有紧急切断阀，由手动二通球阀、电磁阀、高温熔断阀串接组成。其是加油机以正压供油的可靠油路保护装置，此阀作用有二：一是加油机被意外撞击时，剪切阀的剪切环处会首先发生断裂，阀芯自动关闭，防止液体连续泄漏而导致发生火灾事故或污染环境；二是加油机一旦遇到着火事故时，剪切阀附近达到一定温度时，阀芯也会自动关闭，切断油路，避免引起严重的火灾事故。有关剪切阀的具体性能要求，详见国家标准《燃油加油站防爆安全技术第3部分：剪切阀结构和性能的安全要求》GB/T22380.3-2019。</w:t>
            </w:r>
          </w:p>
          <w:p w14:paraId="12D9B3C2">
            <w:pPr>
              <w:pStyle w:val="43"/>
              <w:keepNext w:val="0"/>
              <w:keepLines w:val="0"/>
              <w:pageBreakBefore w:val="0"/>
              <w:widowControl w:val="0"/>
              <w:kinsoku/>
              <w:wordWrap/>
              <w:overflowPunct/>
              <w:topLinePunct w:val="0"/>
              <w:autoSpaceDE/>
              <w:autoSpaceDN/>
              <w:bidi w:val="0"/>
              <w:spacing w:line="320" w:lineRule="exact"/>
              <w:ind w:firstLine="420" w:firstLineChars="200"/>
              <w:jc w:val="both"/>
              <w:textAlignment w:val="auto"/>
              <w:rPr>
                <w:rFonts w:hint="eastAsia"/>
              </w:rPr>
            </w:pPr>
            <w:r>
              <w:rPr>
                <w:rFonts w:hint="eastAsia"/>
              </w:rPr>
              <w:t>（13）所有设备、管道、管件和仪表要求向有资质的生产企业采购、安装，提高安装质量，要求生产严格按生产操作规程进行，杜绝跑、冒、滴、漏。</w:t>
            </w:r>
          </w:p>
          <w:p w14:paraId="79DF3A84">
            <w:pPr>
              <w:pStyle w:val="43"/>
              <w:keepNext w:val="0"/>
              <w:keepLines w:val="0"/>
              <w:pageBreakBefore w:val="0"/>
              <w:widowControl w:val="0"/>
              <w:kinsoku/>
              <w:wordWrap/>
              <w:overflowPunct/>
              <w:topLinePunct w:val="0"/>
              <w:autoSpaceDE/>
              <w:autoSpaceDN/>
              <w:bidi w:val="0"/>
              <w:spacing w:line="320" w:lineRule="exact"/>
              <w:ind w:firstLine="420" w:firstLineChars="200"/>
              <w:jc w:val="both"/>
              <w:textAlignment w:val="auto"/>
              <w:rPr>
                <w:rFonts w:hint="eastAsia"/>
              </w:rPr>
            </w:pPr>
            <w:r>
              <w:rPr>
                <w:rFonts w:hint="eastAsia"/>
              </w:rPr>
              <w:t>（14）企业制定严格的安全管理制度，工艺规程，并严格要求操作人员自觉遵守各项规章制度及操作规程，杜绝“三违”。定期对设备、管道、管件、仪表、法兰连接进行全面检验，通过预防性地更换改进零部件、密封件，消除泄漏隐患。</w:t>
            </w:r>
          </w:p>
          <w:p w14:paraId="19F17829">
            <w:pPr>
              <w:pStyle w:val="43"/>
              <w:keepNext w:val="0"/>
              <w:keepLines w:val="0"/>
              <w:pageBreakBefore w:val="0"/>
              <w:widowControl w:val="0"/>
              <w:kinsoku/>
              <w:wordWrap/>
              <w:overflowPunct/>
              <w:topLinePunct w:val="0"/>
              <w:autoSpaceDE/>
              <w:autoSpaceDN/>
              <w:bidi w:val="0"/>
              <w:spacing w:line="320" w:lineRule="exact"/>
              <w:ind w:firstLine="420" w:firstLineChars="200"/>
              <w:jc w:val="both"/>
              <w:textAlignment w:val="auto"/>
              <w:rPr>
                <w:color w:val="auto"/>
              </w:rPr>
            </w:pPr>
            <w:r>
              <w:rPr>
                <w:rFonts w:hint="eastAsia"/>
              </w:rPr>
              <w:t>（15）自用撬装加油装置四周设混凝土防护围堰，做防渗漏措施。</w:t>
            </w:r>
          </w:p>
        </w:tc>
        <w:tc>
          <w:tcPr>
            <w:tcW w:w="1223" w:type="dxa"/>
            <w:tcBorders>
              <w:top w:val="single" w:color="auto" w:sz="4" w:space="0"/>
            </w:tcBorders>
            <w:noWrap w:val="0"/>
            <w:vAlign w:val="center"/>
          </w:tcPr>
          <w:p w14:paraId="4CD1FCCB">
            <w:pPr>
              <w:pStyle w:val="43"/>
              <w:keepNext w:val="0"/>
              <w:keepLines w:val="0"/>
              <w:pageBreakBefore w:val="0"/>
              <w:widowControl w:val="0"/>
              <w:kinsoku/>
              <w:wordWrap/>
              <w:overflowPunct/>
              <w:topLinePunct w:val="0"/>
              <w:autoSpaceDE/>
              <w:autoSpaceDN/>
              <w:bidi w:val="0"/>
              <w:spacing w:line="320" w:lineRule="exact"/>
              <w:jc w:val="center"/>
              <w:textAlignment w:val="auto"/>
              <w:rPr>
                <w:rFonts w:hint="default" w:eastAsia="宋体"/>
                <w:color w:val="auto"/>
                <w:lang w:val="en-US" w:eastAsia="zh-CN"/>
              </w:rPr>
            </w:pPr>
            <w:r>
              <w:rPr>
                <w:rFonts w:hint="eastAsia"/>
                <w:color w:val="auto"/>
                <w:lang w:val="en-US" w:eastAsia="zh-CN"/>
              </w:rPr>
              <w:t>防泄漏措施与设计一致</w:t>
            </w:r>
          </w:p>
        </w:tc>
        <w:tc>
          <w:tcPr>
            <w:tcW w:w="795" w:type="dxa"/>
            <w:tcBorders>
              <w:top w:val="single" w:color="auto" w:sz="4" w:space="0"/>
            </w:tcBorders>
            <w:noWrap w:val="0"/>
            <w:vAlign w:val="center"/>
          </w:tcPr>
          <w:p w14:paraId="4159E4D4">
            <w:pPr>
              <w:keepNext w:val="0"/>
              <w:keepLines w:val="0"/>
              <w:pageBreakBefore w:val="0"/>
              <w:widowControl w:val="0"/>
              <w:kinsoku/>
              <w:wordWrap/>
              <w:overflowPunct/>
              <w:topLinePunct w:val="0"/>
              <w:autoSpaceDE/>
              <w:autoSpaceDN/>
              <w:bidi w:val="0"/>
              <w:spacing w:line="320" w:lineRule="exact"/>
              <w:ind w:firstLine="0" w:firstLineChars="0"/>
              <w:jc w:val="center"/>
              <w:textAlignment w:val="auto"/>
              <w:rPr>
                <w:rFonts w:hint="default"/>
                <w:color w:val="auto"/>
                <w:lang w:val="en-US"/>
              </w:rPr>
            </w:pPr>
            <w:r>
              <w:rPr>
                <w:rFonts w:hint="eastAsia"/>
                <w:color w:val="auto"/>
                <w:sz w:val="21"/>
                <w:szCs w:val="21"/>
                <w:lang w:val="en-US" w:eastAsia="zh-CN"/>
              </w:rPr>
              <w:t>采纳落实</w:t>
            </w:r>
          </w:p>
        </w:tc>
      </w:tr>
      <w:tr w14:paraId="4AB22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0" w:hRule="atLeast"/>
          <w:jc w:val="center"/>
        </w:trPr>
        <w:tc>
          <w:tcPr>
            <w:tcW w:w="7268" w:type="dxa"/>
            <w:tcBorders>
              <w:top w:val="single" w:color="auto" w:sz="4" w:space="0"/>
            </w:tcBorders>
            <w:noWrap w:val="0"/>
            <w:vAlign w:val="top"/>
          </w:tcPr>
          <w:p w14:paraId="00439E09">
            <w:pPr>
              <w:pStyle w:val="43"/>
              <w:keepNext w:val="0"/>
              <w:keepLines w:val="0"/>
              <w:pageBreakBefore w:val="0"/>
              <w:widowControl w:val="0"/>
              <w:kinsoku/>
              <w:wordWrap/>
              <w:overflowPunct/>
              <w:topLinePunct w:val="0"/>
              <w:autoSpaceDE/>
              <w:autoSpaceDN/>
              <w:bidi w:val="0"/>
              <w:spacing w:line="320" w:lineRule="exact"/>
              <w:jc w:val="both"/>
              <w:textAlignment w:val="auto"/>
              <w:rPr>
                <w:rFonts w:hint="eastAsia"/>
                <w:color w:val="auto"/>
                <w:lang w:val="en-US" w:eastAsia="zh-CN"/>
              </w:rPr>
            </w:pPr>
            <w:r>
              <w:rPr>
                <w:rFonts w:hint="eastAsia"/>
                <w:color w:val="auto"/>
                <w:lang w:val="en-US" w:eastAsia="zh-CN"/>
              </w:rPr>
              <w:t>2、</w:t>
            </w:r>
            <w:r>
              <w:rPr>
                <w:rFonts w:hint="eastAsia" w:ascii="Times New Roman" w:hAnsi="Times New Roman" w:eastAsia="宋体" w:cs="Times New Roman"/>
                <w:color w:val="auto"/>
                <w:spacing w:val="-6"/>
                <w:sz w:val="21"/>
                <w:lang w:val="en-US" w:eastAsia="zh-CN"/>
              </w:rPr>
              <w:t>防火、防爆措施</w:t>
            </w:r>
          </w:p>
          <w:p w14:paraId="3D7C71BB">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（1）工艺管道输送液体时，根据液体输送时的最大流量，选用适合管径，使其在安全流速范围内。</w:t>
            </w:r>
          </w:p>
          <w:p w14:paraId="27D1BD5D">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（2）自用撬装加油装置周边设置防撞栏柱，防止意外撞击发生火灾爆炸。</w:t>
            </w:r>
          </w:p>
          <w:p w14:paraId="4774BDD9">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（3）加油机加油软管上设置安全拉断阀，预防事故时及时切断加油。</w:t>
            </w:r>
          </w:p>
          <w:p w14:paraId="08AF9F46">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（4）加油机底部连接的输油管道上设置防撞事故自动切断阀，当加油机被撞或起火时，阀门自动关闭，防止火灾蔓延扩散。</w:t>
            </w:r>
          </w:p>
          <w:p w14:paraId="0FA51633">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（5）为了防止静电引起火灾爆炸事故，油罐的接洽管采用金属材质。</w:t>
            </w:r>
          </w:p>
          <w:p w14:paraId="17C9142D">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（6）卸油口南侧1.5m外设置有卸油时用的防静电接地报警仪。</w:t>
            </w:r>
          </w:p>
          <w:p w14:paraId="49A9CEB5">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（7）储油罐能在90%装载量时承受1h标准可燃液体火的作用，而不发生油罐泄漏、油罐失效及泄压功能受阻等现象。</w:t>
            </w:r>
          </w:p>
          <w:p w14:paraId="7759F2A4">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（8）油罐出油管管口距罐底的高度0.15m。</w:t>
            </w:r>
          </w:p>
          <w:p w14:paraId="4CCE3824">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（9）自用撬装加油装置具有防火、防爆性能，自用撬装加油装置作为整体产品由设备厂家整体供应，其中油罐的防火、防爆性能和自动灭火装置的性能通过国家有关机构的测试认证。</w:t>
            </w:r>
          </w:p>
          <w:p w14:paraId="7A25EEDA">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color w:val="auto"/>
                <w:lang w:val="en-US" w:eastAsia="zh-CN"/>
              </w:rPr>
            </w:pPr>
            <w:r>
              <w:rPr>
                <w:rFonts w:hint="eastAsia" w:ascii="Times New Roman" w:hAnsi="Times New Roman" w:eastAsia="宋体" w:cs="Times New Roman"/>
                <w:color w:val="auto"/>
                <w:kern w:val="18"/>
                <w:sz w:val="21"/>
                <w:szCs w:val="21"/>
                <w:lang w:val="en-US" w:eastAsia="zh-CN" w:bidi="ar-SA"/>
              </w:rPr>
              <w:t>（10）自用撬装加油装置的油罐设置有高液位报警器、液位计、自动灭火装置、紧急泄压装置、防溢流装置。油罐出油管道设置有高温自动断油保护阀。自动灭火装置的启动温度68℃。</w:t>
            </w:r>
          </w:p>
        </w:tc>
        <w:tc>
          <w:tcPr>
            <w:tcW w:w="1223" w:type="dxa"/>
            <w:tcBorders>
              <w:top w:val="single" w:color="auto" w:sz="4" w:space="0"/>
            </w:tcBorders>
            <w:noWrap w:val="0"/>
            <w:vAlign w:val="center"/>
          </w:tcPr>
          <w:p w14:paraId="1C63F7B4">
            <w:pPr>
              <w:pStyle w:val="43"/>
              <w:keepNext w:val="0"/>
              <w:keepLines w:val="0"/>
              <w:pageBreakBefore w:val="0"/>
              <w:widowControl w:val="0"/>
              <w:kinsoku/>
              <w:wordWrap/>
              <w:overflowPunct/>
              <w:topLinePunct w:val="0"/>
              <w:autoSpaceDE/>
              <w:autoSpaceDN/>
              <w:bidi w:val="0"/>
              <w:spacing w:line="320" w:lineRule="exact"/>
              <w:jc w:val="center"/>
              <w:textAlignment w:val="auto"/>
              <w:rPr>
                <w:rFonts w:hint="default" w:eastAsia="宋体"/>
                <w:color w:val="auto"/>
                <w:lang w:val="en-US" w:eastAsia="zh-CN"/>
              </w:rPr>
            </w:pPr>
            <w:r>
              <w:rPr>
                <w:rFonts w:hint="eastAsia"/>
                <w:color w:val="auto"/>
                <w:lang w:val="en-US" w:eastAsia="zh-CN"/>
              </w:rPr>
              <w:t>防火措施与设计一致</w:t>
            </w:r>
          </w:p>
        </w:tc>
        <w:tc>
          <w:tcPr>
            <w:tcW w:w="795" w:type="dxa"/>
            <w:tcBorders>
              <w:top w:val="single" w:color="auto" w:sz="4" w:space="0"/>
            </w:tcBorders>
            <w:noWrap w:val="0"/>
            <w:vAlign w:val="center"/>
          </w:tcPr>
          <w:p w14:paraId="736015A1">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eastAsia" w:eastAsia="宋体"/>
                <w:color w:val="auto"/>
                <w:sz w:val="21"/>
                <w:szCs w:val="21"/>
                <w:lang w:val="en-US" w:eastAsia="zh-CN"/>
              </w:rPr>
            </w:pPr>
            <w:r>
              <w:rPr>
                <w:rFonts w:hint="eastAsia"/>
                <w:color w:val="auto"/>
                <w:sz w:val="21"/>
                <w:szCs w:val="21"/>
                <w:lang w:val="en-US" w:eastAsia="zh-CN"/>
              </w:rPr>
              <w:t>采纳落实</w:t>
            </w:r>
          </w:p>
        </w:tc>
      </w:tr>
      <w:tr w14:paraId="74067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9" w:hRule="atLeast"/>
          <w:jc w:val="center"/>
        </w:trPr>
        <w:tc>
          <w:tcPr>
            <w:tcW w:w="7268" w:type="dxa"/>
            <w:tcBorders>
              <w:top w:val="single" w:color="auto" w:sz="4" w:space="0"/>
            </w:tcBorders>
            <w:noWrap w:val="0"/>
            <w:vAlign w:val="top"/>
          </w:tcPr>
          <w:p w14:paraId="57DF792F">
            <w:pPr>
              <w:pStyle w:val="43"/>
              <w:keepNext w:val="0"/>
              <w:keepLines w:val="0"/>
              <w:pageBreakBefore w:val="0"/>
              <w:widowControl w:val="0"/>
              <w:kinsoku/>
              <w:wordWrap/>
              <w:overflowPunct/>
              <w:topLinePunct w:val="0"/>
              <w:autoSpaceDE/>
              <w:autoSpaceDN/>
              <w:bidi w:val="0"/>
              <w:spacing w:line="320" w:lineRule="exact"/>
              <w:jc w:val="both"/>
              <w:textAlignment w:val="auto"/>
              <w:rPr>
                <w:rFonts w:hint="eastAsia"/>
                <w:color w:val="auto"/>
                <w:lang w:val="en-US" w:eastAsia="zh-CN"/>
              </w:rPr>
            </w:pPr>
            <w:r>
              <w:rPr>
                <w:rFonts w:hint="eastAsia"/>
                <w:color w:val="auto"/>
                <w:lang w:val="en-US" w:eastAsia="zh-CN"/>
              </w:rPr>
              <w:t>3、</w:t>
            </w:r>
            <w:r>
              <w:rPr>
                <w:rFonts w:hint="eastAsia" w:ascii="Times New Roman" w:hAnsi="Times New Roman" w:eastAsia="宋体" w:cs="Times New Roman"/>
                <w:color w:val="auto"/>
                <w:lang w:val="en-US" w:eastAsia="zh-CN"/>
              </w:rPr>
              <w:t>防毒措施</w:t>
            </w:r>
          </w:p>
          <w:p w14:paraId="663F61CB">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（1）自用撬装加油装置采用自然通风，通过双层罐体的方式隔热，设置罩棚。</w:t>
            </w:r>
          </w:p>
          <w:p w14:paraId="0B1317F5">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color w:val="auto"/>
                <w:lang w:val="en-US" w:eastAsia="zh-CN"/>
              </w:rPr>
            </w:pPr>
            <w:r>
              <w:rPr>
                <w:rFonts w:hint="eastAsia" w:ascii="Times New Roman" w:hAnsi="Times New Roman" w:eastAsia="宋体" w:cs="Times New Roman"/>
                <w:color w:val="auto"/>
                <w:kern w:val="18"/>
                <w:sz w:val="21"/>
                <w:szCs w:val="21"/>
                <w:lang w:val="en-US" w:eastAsia="zh-CN" w:bidi="ar-SA"/>
              </w:rPr>
              <w:t>（2）根据柴油的健康危害特性，配备相应的防护设备、急救用品，设置应急撤离通道以及风向标。</w:t>
            </w:r>
          </w:p>
        </w:tc>
        <w:tc>
          <w:tcPr>
            <w:tcW w:w="1223" w:type="dxa"/>
            <w:tcBorders>
              <w:top w:val="single" w:color="auto" w:sz="4" w:space="0"/>
            </w:tcBorders>
            <w:noWrap w:val="0"/>
            <w:vAlign w:val="center"/>
          </w:tcPr>
          <w:p w14:paraId="602A2B6C">
            <w:pPr>
              <w:pStyle w:val="43"/>
              <w:keepNext w:val="0"/>
              <w:keepLines w:val="0"/>
              <w:pageBreakBefore w:val="0"/>
              <w:widowControl w:val="0"/>
              <w:kinsoku/>
              <w:wordWrap/>
              <w:overflowPunct/>
              <w:topLinePunct w:val="0"/>
              <w:autoSpaceDE/>
              <w:autoSpaceDN/>
              <w:bidi w:val="0"/>
              <w:spacing w:line="320" w:lineRule="exact"/>
              <w:jc w:val="both"/>
              <w:textAlignment w:val="auto"/>
              <w:rPr>
                <w:rFonts w:hint="default" w:eastAsia="宋体"/>
                <w:color w:val="auto"/>
                <w:lang w:val="en-US" w:eastAsia="zh-CN"/>
              </w:rPr>
            </w:pPr>
            <w:r>
              <w:rPr>
                <w:rFonts w:hint="eastAsia"/>
                <w:color w:val="auto"/>
                <w:lang w:val="en-US" w:eastAsia="zh-CN"/>
              </w:rPr>
              <w:t>正确佩戴和使用劳动防护用品</w:t>
            </w:r>
          </w:p>
        </w:tc>
        <w:tc>
          <w:tcPr>
            <w:tcW w:w="795" w:type="dxa"/>
            <w:tcBorders>
              <w:top w:val="single" w:color="auto" w:sz="4" w:space="0"/>
            </w:tcBorders>
            <w:noWrap w:val="0"/>
            <w:vAlign w:val="center"/>
          </w:tcPr>
          <w:p w14:paraId="7C41E0D1">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eastAsia="宋体"/>
                <w:color w:val="auto"/>
                <w:sz w:val="21"/>
                <w:szCs w:val="21"/>
                <w:lang w:val="en-US" w:eastAsia="zh-CN"/>
              </w:rPr>
            </w:pPr>
            <w:r>
              <w:rPr>
                <w:rFonts w:hint="eastAsia"/>
                <w:color w:val="auto"/>
                <w:sz w:val="21"/>
                <w:szCs w:val="21"/>
                <w:lang w:val="en-US" w:eastAsia="zh-CN"/>
              </w:rPr>
              <w:t>采纳落实</w:t>
            </w:r>
          </w:p>
        </w:tc>
      </w:tr>
      <w:tr w14:paraId="007A5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7268" w:type="dxa"/>
            <w:tcBorders>
              <w:top w:val="single" w:color="auto" w:sz="4" w:space="0"/>
            </w:tcBorders>
            <w:noWrap w:val="0"/>
            <w:vAlign w:val="top"/>
          </w:tcPr>
          <w:p w14:paraId="205E9273">
            <w:pPr>
              <w:pStyle w:val="43"/>
              <w:keepNext w:val="0"/>
              <w:keepLines w:val="0"/>
              <w:pageBreakBefore w:val="0"/>
              <w:widowControl w:val="0"/>
              <w:kinsoku/>
              <w:wordWrap/>
              <w:overflowPunct/>
              <w:topLinePunct w:val="0"/>
              <w:autoSpaceDE/>
              <w:autoSpaceDN/>
              <w:bidi w:val="0"/>
              <w:spacing w:line="320" w:lineRule="exact"/>
              <w:jc w:val="both"/>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4</w:t>
            </w:r>
            <w:r>
              <w:rPr>
                <w:rFonts w:hint="eastAsia" w:ascii="Times New Roman" w:hAnsi="Times New Roman" w:eastAsia="宋体" w:cs="宋体"/>
                <w:color w:val="auto"/>
                <w:lang w:val="en-US" w:eastAsia="zh-CN"/>
              </w:rPr>
              <w:t>、</w:t>
            </w:r>
            <w:r>
              <w:rPr>
                <w:rFonts w:hint="eastAsia" w:ascii="Times New Roman" w:hAnsi="Times New Roman" w:eastAsia="宋体" w:cs="Times New Roman"/>
                <w:color w:val="auto"/>
                <w:lang w:val="en-US" w:eastAsia="zh-CN"/>
              </w:rPr>
              <w:t>防腐蚀措施</w:t>
            </w:r>
          </w:p>
          <w:p w14:paraId="585FE9AF">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color w:val="auto"/>
                <w:lang w:val="en-US" w:eastAsia="zh-CN"/>
              </w:rPr>
            </w:pPr>
            <w:r>
              <w:rPr>
                <w:rFonts w:hint="eastAsia" w:ascii="Times New Roman" w:hAnsi="Times New Roman" w:eastAsia="宋体" w:cs="Times New Roman"/>
                <w:color w:val="auto"/>
                <w:kern w:val="18"/>
                <w:sz w:val="21"/>
                <w:szCs w:val="21"/>
                <w:lang w:val="en-US" w:eastAsia="zh-CN" w:bidi="ar-SA"/>
              </w:rPr>
              <w:t>管线、防撞弯管设计采用除锈后，刷环氧富锌防腐底漆（两遍）、环氧防腐面漆（两遍）进行防腐施工；钢制管道要求进行加强级防腐处理：环氧富锌底漆2遍，环氧富锌中间漆1遍，环氧富锌面漆2遍。加油机出厂时均做了防腐蚀处理。油罐为双壁油罐，因此油罐罐体不需要做防腐处理。</w:t>
            </w:r>
          </w:p>
        </w:tc>
        <w:tc>
          <w:tcPr>
            <w:tcW w:w="1223" w:type="dxa"/>
            <w:tcBorders>
              <w:top w:val="single" w:color="auto" w:sz="4" w:space="0"/>
            </w:tcBorders>
            <w:noWrap w:val="0"/>
            <w:vAlign w:val="center"/>
          </w:tcPr>
          <w:p w14:paraId="56E9825C">
            <w:pPr>
              <w:pStyle w:val="43"/>
              <w:keepNext w:val="0"/>
              <w:keepLines w:val="0"/>
              <w:pageBreakBefore w:val="0"/>
              <w:widowControl w:val="0"/>
              <w:kinsoku/>
              <w:wordWrap/>
              <w:overflowPunct/>
              <w:topLinePunct w:val="0"/>
              <w:autoSpaceDE/>
              <w:autoSpaceDN/>
              <w:bidi w:val="0"/>
              <w:spacing w:line="320" w:lineRule="exact"/>
              <w:jc w:val="both"/>
              <w:textAlignment w:val="auto"/>
              <w:rPr>
                <w:color w:val="auto"/>
              </w:rPr>
            </w:pPr>
            <w:r>
              <w:rPr>
                <w:rFonts w:hint="eastAsia"/>
                <w:color w:val="auto"/>
                <w:lang w:val="en-US" w:eastAsia="zh-CN"/>
              </w:rPr>
              <w:t>撬装式加油装置箱体外表面涂防腐漆</w:t>
            </w:r>
          </w:p>
        </w:tc>
        <w:tc>
          <w:tcPr>
            <w:tcW w:w="795" w:type="dxa"/>
            <w:tcBorders>
              <w:top w:val="single" w:color="auto" w:sz="4" w:space="0"/>
            </w:tcBorders>
            <w:noWrap w:val="0"/>
            <w:vAlign w:val="center"/>
          </w:tcPr>
          <w:p w14:paraId="31B8575C">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eastAsia="宋体"/>
                <w:color w:val="auto"/>
                <w:sz w:val="21"/>
                <w:szCs w:val="21"/>
                <w:lang w:val="en-US" w:eastAsia="zh-CN"/>
              </w:rPr>
            </w:pPr>
            <w:r>
              <w:rPr>
                <w:rFonts w:hint="eastAsia"/>
                <w:color w:val="auto"/>
                <w:sz w:val="21"/>
                <w:szCs w:val="21"/>
                <w:lang w:val="en-US" w:eastAsia="zh-CN"/>
              </w:rPr>
              <w:t>采纳落实</w:t>
            </w:r>
          </w:p>
        </w:tc>
      </w:tr>
      <w:tr w14:paraId="79668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8" w:type="dxa"/>
            <w:tcBorders>
              <w:top w:val="single" w:color="auto" w:sz="4" w:space="0"/>
            </w:tcBorders>
            <w:noWrap w:val="0"/>
            <w:vAlign w:val="top"/>
          </w:tcPr>
          <w:p w14:paraId="07A0A6B7">
            <w:pPr>
              <w:pStyle w:val="43"/>
              <w:keepNext w:val="0"/>
              <w:keepLines w:val="0"/>
              <w:pageBreakBefore w:val="0"/>
              <w:widowControl w:val="0"/>
              <w:kinsoku/>
              <w:wordWrap/>
              <w:overflowPunct/>
              <w:topLinePunct w:val="0"/>
              <w:autoSpaceDE/>
              <w:autoSpaceDN/>
              <w:bidi w:val="0"/>
              <w:spacing w:line="320" w:lineRule="exact"/>
              <w:jc w:val="both"/>
              <w:textAlignment w:val="auto"/>
              <w:rPr>
                <w:rFonts w:hint="default"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5</w:t>
            </w:r>
            <w:r>
              <w:rPr>
                <w:rFonts w:hint="eastAsia" w:ascii="Times New Roman" w:hAnsi="Times New Roman" w:eastAsia="宋体" w:cs="宋体"/>
                <w:color w:val="auto"/>
                <w:lang w:val="en-US" w:eastAsia="zh-CN"/>
              </w:rPr>
              <w:t>、</w:t>
            </w:r>
            <w:r>
              <w:rPr>
                <w:rFonts w:hint="eastAsia" w:ascii="Times New Roman" w:hAnsi="Times New Roman" w:eastAsia="宋体" w:cs="Times New Roman"/>
                <w:color w:val="auto"/>
                <w:kern w:val="18"/>
                <w:sz w:val="21"/>
                <w:szCs w:val="21"/>
                <w:lang w:val="en-US" w:eastAsia="zh-CN" w:bidi="ar-SA"/>
              </w:rPr>
              <w:t>防尘</w:t>
            </w:r>
          </w:p>
          <w:p w14:paraId="3F3E8D09">
            <w:pPr>
              <w:pStyle w:val="43"/>
              <w:keepNext w:val="0"/>
              <w:keepLines w:val="0"/>
              <w:pageBreakBefore w:val="0"/>
              <w:widowControl w:val="0"/>
              <w:kinsoku/>
              <w:wordWrap/>
              <w:overflowPunct/>
              <w:topLinePunct w:val="0"/>
              <w:autoSpaceDE/>
              <w:autoSpaceDN/>
              <w:bidi w:val="0"/>
              <w:spacing w:line="320" w:lineRule="exact"/>
              <w:jc w:val="both"/>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本项目不涉及。</w:t>
            </w:r>
          </w:p>
        </w:tc>
        <w:tc>
          <w:tcPr>
            <w:tcW w:w="1223" w:type="dxa"/>
            <w:tcBorders>
              <w:top w:val="single" w:color="auto" w:sz="4" w:space="0"/>
            </w:tcBorders>
            <w:noWrap w:val="0"/>
            <w:vAlign w:val="center"/>
          </w:tcPr>
          <w:p w14:paraId="16D5539C">
            <w:pPr>
              <w:pStyle w:val="43"/>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w:t>
            </w:r>
          </w:p>
        </w:tc>
        <w:tc>
          <w:tcPr>
            <w:tcW w:w="795" w:type="dxa"/>
            <w:tcBorders>
              <w:top w:val="single" w:color="auto" w:sz="4" w:space="0"/>
            </w:tcBorders>
            <w:noWrap w:val="0"/>
            <w:vAlign w:val="center"/>
          </w:tcPr>
          <w:p w14:paraId="6F8415A6">
            <w:pPr>
              <w:keepNext w:val="0"/>
              <w:keepLines w:val="0"/>
              <w:pageBreakBefore w:val="0"/>
              <w:widowControl w:val="0"/>
              <w:kinsoku/>
              <w:wordWrap/>
              <w:overflowPunct/>
              <w:topLinePunct w:val="0"/>
              <w:autoSpaceDE/>
              <w:autoSpaceDN/>
              <w:bidi w:val="0"/>
              <w:spacing w:line="320" w:lineRule="exact"/>
              <w:ind w:firstLine="0" w:firstLineChars="0"/>
              <w:jc w:val="center"/>
              <w:textAlignment w:val="auto"/>
              <w:rPr>
                <w:rFonts w:hint="eastAsia" w:ascii="Times New Roman" w:hAnsi="Times New Roman" w:eastAsia="宋体" w:cs="Times New Roman"/>
                <w:color w:val="auto"/>
                <w:kern w:val="18"/>
                <w:sz w:val="21"/>
                <w:szCs w:val="21"/>
                <w:lang w:val="en-US" w:eastAsia="zh-CN" w:bidi="ar-SA"/>
              </w:rPr>
            </w:pPr>
            <w:r>
              <w:rPr>
                <w:rFonts w:hint="eastAsia"/>
                <w:color w:val="auto"/>
                <w:sz w:val="21"/>
                <w:szCs w:val="21"/>
                <w:lang w:val="en-US" w:eastAsia="zh-CN"/>
              </w:rPr>
              <w:t>/</w:t>
            </w:r>
          </w:p>
        </w:tc>
      </w:tr>
      <w:tr w14:paraId="12830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286" w:type="dxa"/>
            <w:gridSpan w:val="3"/>
            <w:noWrap w:val="0"/>
            <w:vAlign w:val="top"/>
          </w:tcPr>
          <w:p w14:paraId="14D86683">
            <w:pPr>
              <w:pStyle w:val="43"/>
              <w:keepNext w:val="0"/>
              <w:keepLines w:val="0"/>
              <w:pageBreakBefore w:val="0"/>
              <w:widowControl w:val="0"/>
              <w:kinsoku/>
              <w:wordWrap/>
              <w:overflowPunct/>
              <w:topLinePunct w:val="0"/>
              <w:autoSpaceDE/>
              <w:autoSpaceDN/>
              <w:bidi w:val="0"/>
              <w:spacing w:before="0" w:after="0" w:line="320" w:lineRule="exact"/>
              <w:ind w:firstLine="0" w:firstLineChars="0"/>
              <w:textAlignment w:val="auto"/>
              <w:rPr>
                <w:rFonts w:hint="eastAsia"/>
                <w:b/>
                <w:bCs/>
                <w:color w:val="auto"/>
              </w:rPr>
            </w:pPr>
            <w:bookmarkStart w:id="59" w:name="_Toc11396"/>
            <w:bookmarkStart w:id="60" w:name="_Toc29157"/>
            <w:r>
              <w:rPr>
                <w:rFonts w:hint="eastAsia"/>
                <w:b/>
                <w:bCs/>
                <w:color w:val="auto"/>
              </w:rPr>
              <w:t>4.2 总平面布置</w:t>
            </w:r>
            <w:bookmarkEnd w:id="59"/>
            <w:bookmarkEnd w:id="60"/>
          </w:p>
        </w:tc>
      </w:tr>
      <w:tr w14:paraId="6B941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286" w:type="dxa"/>
            <w:gridSpan w:val="3"/>
            <w:noWrap w:val="0"/>
            <w:vAlign w:val="top"/>
          </w:tcPr>
          <w:p w14:paraId="00CD4318">
            <w:pPr>
              <w:pStyle w:val="43"/>
              <w:keepNext w:val="0"/>
              <w:keepLines w:val="0"/>
              <w:pageBreakBefore w:val="0"/>
              <w:widowControl w:val="0"/>
              <w:kinsoku/>
              <w:wordWrap/>
              <w:overflowPunct/>
              <w:topLinePunct w:val="0"/>
              <w:autoSpaceDE/>
              <w:autoSpaceDN/>
              <w:bidi w:val="0"/>
              <w:spacing w:before="0" w:after="0" w:line="320" w:lineRule="exact"/>
              <w:ind w:firstLine="0" w:firstLineChars="0"/>
              <w:textAlignment w:val="auto"/>
              <w:rPr>
                <w:rFonts w:hint="eastAsia"/>
                <w:b/>
                <w:bCs/>
                <w:color w:val="auto"/>
              </w:rPr>
            </w:pPr>
            <w:r>
              <w:rPr>
                <w:rFonts w:hint="eastAsia"/>
                <w:b/>
                <w:bCs/>
                <w:color w:val="auto"/>
              </w:rPr>
              <w:t>4.2.2</w:t>
            </w:r>
            <w:r>
              <w:rPr>
                <w:rFonts w:hint="eastAsia"/>
                <w:b/>
                <w:bCs/>
                <w:color w:val="auto"/>
                <w:lang w:val="en-US" w:eastAsia="zh-CN"/>
              </w:rPr>
              <w:t xml:space="preserve"> </w:t>
            </w:r>
            <w:r>
              <w:rPr>
                <w:rFonts w:hint="eastAsia"/>
                <w:b/>
                <w:bCs/>
                <w:color w:val="auto"/>
              </w:rPr>
              <w:t>全站及装置（设施）平面及竖向布置的主要安全考虑</w:t>
            </w:r>
          </w:p>
        </w:tc>
      </w:tr>
      <w:tr w14:paraId="777D3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8" w:type="dxa"/>
            <w:noWrap w:val="0"/>
            <w:vAlign w:val="top"/>
          </w:tcPr>
          <w:p w14:paraId="2E7FE712">
            <w:pPr>
              <w:pStyle w:val="43"/>
              <w:keepNext w:val="0"/>
              <w:keepLines w:val="0"/>
              <w:pageBreakBefore w:val="0"/>
              <w:widowControl w:val="0"/>
              <w:kinsoku/>
              <w:wordWrap/>
              <w:overflowPunct/>
              <w:topLinePunct w:val="0"/>
              <w:autoSpaceDE/>
              <w:autoSpaceDN/>
              <w:bidi w:val="0"/>
              <w:spacing w:line="320" w:lineRule="exact"/>
              <w:jc w:val="both"/>
              <w:textAlignment w:val="auto"/>
              <w:rPr>
                <w:rFonts w:hint="eastAsia"/>
                <w:color w:val="auto"/>
              </w:rPr>
            </w:pPr>
            <w:r>
              <w:rPr>
                <w:rFonts w:hint="eastAsia"/>
                <w:color w:val="auto"/>
              </w:rPr>
              <w:t>本项目由西向东依次布置入口、防护围堰、自用撬装加油装置、卸（加）油停车位、消防器材箱、消防沙池、出口。</w:t>
            </w:r>
          </w:p>
          <w:p w14:paraId="7C462D2A">
            <w:pPr>
              <w:pStyle w:val="43"/>
              <w:keepNext w:val="0"/>
              <w:keepLines w:val="0"/>
              <w:pageBreakBefore w:val="0"/>
              <w:widowControl w:val="0"/>
              <w:kinsoku/>
              <w:wordWrap/>
              <w:overflowPunct/>
              <w:topLinePunct w:val="0"/>
              <w:autoSpaceDE/>
              <w:autoSpaceDN/>
              <w:bidi w:val="0"/>
              <w:spacing w:line="320" w:lineRule="exact"/>
              <w:jc w:val="both"/>
              <w:textAlignment w:val="auto"/>
              <w:rPr>
                <w:rFonts w:hint="eastAsia"/>
                <w:color w:val="auto"/>
              </w:rPr>
            </w:pPr>
            <w:r>
              <w:rPr>
                <w:rFonts w:hint="eastAsia"/>
                <w:color w:val="auto"/>
              </w:rPr>
              <w:t>本项目新增1台阻隔防爆橇装加油装置，是集地面防火防爆油罐、加油机、自动灭火器于一体的地面加油装置。自用橇装加油装置设有1个卸油泵，1台加油机位于油罐两端、1台30m³0#柴油地面防火防爆油罐。卸油口设置在西侧加油机旁。油罐顶部设置1根DN50的通气管，高出装置地面4.7m，高出装置顶部1.6m，通气管口安装阻火呼吸阀。装置四周设置防护围堰，围堰周边设置防撞栏柱，高度0.5m，直径0.08m，间距0.5m。</w:t>
            </w:r>
          </w:p>
          <w:p w14:paraId="2CE0F1E6">
            <w:pPr>
              <w:pStyle w:val="43"/>
              <w:keepNext w:val="0"/>
              <w:keepLines w:val="0"/>
              <w:pageBreakBefore w:val="0"/>
              <w:widowControl w:val="0"/>
              <w:kinsoku/>
              <w:wordWrap/>
              <w:overflowPunct/>
              <w:topLinePunct w:val="0"/>
              <w:autoSpaceDE/>
              <w:autoSpaceDN/>
              <w:bidi w:val="0"/>
              <w:spacing w:line="320" w:lineRule="exact"/>
              <w:jc w:val="both"/>
              <w:textAlignment w:val="auto"/>
              <w:rPr>
                <w:rFonts w:hint="eastAsia"/>
                <w:color w:val="auto"/>
              </w:rPr>
            </w:pPr>
            <w:r>
              <w:rPr>
                <w:rFonts w:hint="eastAsia"/>
                <w:color w:val="auto"/>
              </w:rPr>
              <w:t>道路采用平坡式连贯单坡设计，设置双车道和卸（加）油停车位，宽度为10m，道路转弯半径为9m。站内地坪8%坡向道路进出口。道路路面用水泥混凝土铺砌，砼结构厚度为24cm，道路设计荷载为汽-30级，路面表面构造采用压槽等方法制作。承载能够满足运输车辆的使用需求。作业区与其他区域设置界线标识。</w:t>
            </w:r>
          </w:p>
        </w:tc>
        <w:tc>
          <w:tcPr>
            <w:tcW w:w="1223" w:type="dxa"/>
            <w:noWrap w:val="0"/>
            <w:vAlign w:val="center"/>
          </w:tcPr>
          <w:p w14:paraId="33B02647">
            <w:pPr>
              <w:pStyle w:val="43"/>
              <w:keepNext w:val="0"/>
              <w:keepLines w:val="0"/>
              <w:pageBreakBefore w:val="0"/>
              <w:widowControl w:val="0"/>
              <w:kinsoku/>
              <w:wordWrap/>
              <w:overflowPunct/>
              <w:topLinePunct w:val="0"/>
              <w:autoSpaceDE/>
              <w:autoSpaceDN/>
              <w:bidi w:val="0"/>
              <w:spacing w:line="240" w:lineRule="auto"/>
              <w:ind w:firstLine="0" w:firstLineChars="0"/>
              <w:jc w:val="both"/>
              <w:textAlignment w:val="auto"/>
              <w:rPr>
                <w:rFonts w:hint="default" w:eastAsia="宋体"/>
                <w:b/>
                <w:bCs/>
                <w:color w:val="0000FF"/>
                <w:lang w:val="en-US" w:eastAsia="zh-CN"/>
              </w:rPr>
            </w:pPr>
            <w:r>
              <w:rPr>
                <w:rFonts w:hint="eastAsia" w:ascii="Times New Roman" w:hAnsi="Times New Roman" w:eastAsia="宋体" w:cs="Times New Roman"/>
                <w:b w:val="0"/>
                <w:bCs w:val="0"/>
                <w:color w:val="auto"/>
                <w:lang w:val="en-US" w:eastAsia="zh-CN"/>
              </w:rPr>
              <w:t>平面和竖向布置符合设计要求；围堰周边设置有防撞墩，</w:t>
            </w:r>
            <w:r>
              <w:rPr>
                <w:rFonts w:hint="eastAsia"/>
                <w:b w:val="0"/>
                <w:bCs w:val="0"/>
                <w:color w:val="auto"/>
                <w:lang w:val="en-US" w:eastAsia="zh-CN"/>
              </w:rPr>
              <w:t>高度0.65m，间距0.5m。</w:t>
            </w:r>
          </w:p>
        </w:tc>
        <w:tc>
          <w:tcPr>
            <w:tcW w:w="795" w:type="dxa"/>
            <w:noWrap w:val="0"/>
            <w:vAlign w:val="center"/>
          </w:tcPr>
          <w:p w14:paraId="1BF4C53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color w:val="0000FF"/>
              </w:rPr>
            </w:pPr>
            <w:r>
              <w:rPr>
                <w:rFonts w:hint="eastAsia"/>
                <w:color w:val="auto"/>
                <w:sz w:val="21"/>
                <w:szCs w:val="21"/>
                <w:lang w:val="en-US" w:eastAsia="zh-CN"/>
              </w:rPr>
              <w:t>采纳落实</w:t>
            </w:r>
          </w:p>
        </w:tc>
      </w:tr>
      <w:tr w14:paraId="7CEA6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286" w:type="dxa"/>
            <w:gridSpan w:val="3"/>
            <w:noWrap w:val="0"/>
            <w:vAlign w:val="top"/>
          </w:tcPr>
          <w:p w14:paraId="0E9B1CEE">
            <w:pPr>
              <w:pStyle w:val="43"/>
              <w:keepNext w:val="0"/>
              <w:keepLines w:val="0"/>
              <w:pageBreakBefore w:val="0"/>
              <w:widowControl w:val="0"/>
              <w:kinsoku/>
              <w:wordWrap/>
              <w:overflowPunct/>
              <w:topLinePunct w:val="0"/>
              <w:autoSpaceDE/>
              <w:autoSpaceDN/>
              <w:bidi w:val="0"/>
              <w:spacing w:before="0" w:after="0" w:line="240" w:lineRule="auto"/>
              <w:ind w:firstLine="0" w:firstLineChars="0"/>
              <w:textAlignment w:val="auto"/>
              <w:rPr>
                <w:color w:val="auto"/>
              </w:rPr>
            </w:pPr>
            <w:r>
              <w:rPr>
                <w:b/>
                <w:bCs/>
                <w:color w:val="auto"/>
              </w:rPr>
              <w:t>4.2.</w:t>
            </w:r>
            <w:r>
              <w:rPr>
                <w:rFonts w:hint="eastAsia"/>
                <w:b/>
                <w:bCs/>
                <w:color w:val="auto"/>
                <w:lang w:val="en-US" w:eastAsia="zh-CN"/>
              </w:rPr>
              <w:t>4</w:t>
            </w:r>
            <w:r>
              <w:rPr>
                <w:b/>
                <w:bCs/>
                <w:color w:val="auto"/>
              </w:rPr>
              <w:t xml:space="preserve"> 厂区消防道路、</w:t>
            </w:r>
            <w:r>
              <w:rPr>
                <w:rFonts w:hint="eastAsia"/>
                <w:b/>
                <w:bCs/>
                <w:color w:val="auto"/>
              </w:rPr>
              <w:t>交通组织</w:t>
            </w:r>
            <w:r>
              <w:rPr>
                <w:b/>
                <w:bCs/>
                <w:color w:val="auto"/>
              </w:rPr>
              <w:t>及出</w:t>
            </w:r>
            <w:r>
              <w:rPr>
                <w:rFonts w:hint="eastAsia"/>
                <w:b/>
                <w:bCs/>
                <w:color w:val="auto"/>
              </w:rPr>
              <w:t>入</w:t>
            </w:r>
            <w:r>
              <w:rPr>
                <w:b/>
                <w:bCs/>
                <w:color w:val="auto"/>
              </w:rPr>
              <w:t>口的设置情况</w:t>
            </w:r>
          </w:p>
        </w:tc>
      </w:tr>
      <w:tr w14:paraId="5E967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8" w:type="dxa"/>
            <w:noWrap w:val="0"/>
            <w:vAlign w:val="top"/>
          </w:tcPr>
          <w:p w14:paraId="578135E6">
            <w:pPr>
              <w:keepNext w:val="0"/>
              <w:keepLines w:val="0"/>
              <w:pageBreakBefore w:val="0"/>
              <w:widowControl w:val="0"/>
              <w:kinsoku/>
              <w:wordWrap/>
              <w:overflowPunct/>
              <w:topLinePunct w:val="0"/>
              <w:autoSpaceDE/>
              <w:autoSpaceDN/>
              <w:bidi w:val="0"/>
              <w:adjustRightInd w:val="0"/>
              <w:snapToGrid w:val="0"/>
              <w:spacing w:line="320" w:lineRule="exact"/>
              <w:ind w:left="0" w:leftChars="0" w:firstLine="0" w:firstLineChars="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1、道路大部分较平坦，汇集场地及道路上的雨水至道路旁的排水明沟。</w:t>
            </w:r>
          </w:p>
          <w:p w14:paraId="701CCF46">
            <w:pPr>
              <w:keepNext w:val="0"/>
              <w:keepLines w:val="0"/>
              <w:pageBreakBefore w:val="0"/>
              <w:widowControl w:val="0"/>
              <w:kinsoku/>
              <w:wordWrap/>
              <w:overflowPunct/>
              <w:topLinePunct w:val="0"/>
              <w:autoSpaceDE/>
              <w:autoSpaceDN/>
              <w:bidi w:val="0"/>
              <w:adjustRightInd w:val="0"/>
              <w:snapToGrid w:val="0"/>
              <w:spacing w:line="320" w:lineRule="exact"/>
              <w:ind w:left="0" w:leftChars="0" w:firstLine="0" w:firstLineChars="0"/>
              <w:textAlignment w:val="auto"/>
              <w:rPr>
                <w:rFonts w:hint="eastAsia"/>
                <w:color w:val="auto"/>
              </w:rPr>
            </w:pPr>
            <w:r>
              <w:rPr>
                <w:rFonts w:hint="eastAsia" w:ascii="Times New Roman" w:hAnsi="Times New Roman" w:eastAsia="宋体" w:cs="Times New Roman"/>
                <w:color w:val="auto"/>
                <w:kern w:val="18"/>
                <w:sz w:val="21"/>
                <w:szCs w:val="21"/>
                <w:lang w:val="en-US" w:eastAsia="zh-CN" w:bidi="ar-SA"/>
              </w:rPr>
              <w:t>2、道路宽度双车道10m，道路转弯半径12m，以满足卸油、加油和消防的要求。</w:t>
            </w:r>
          </w:p>
        </w:tc>
        <w:tc>
          <w:tcPr>
            <w:tcW w:w="1223" w:type="dxa"/>
            <w:noWrap w:val="0"/>
            <w:vAlign w:val="center"/>
          </w:tcPr>
          <w:p w14:paraId="17022971">
            <w:pPr>
              <w:pStyle w:val="43"/>
              <w:keepNext w:val="0"/>
              <w:keepLines w:val="0"/>
              <w:pageBreakBefore w:val="0"/>
              <w:widowControl w:val="0"/>
              <w:kinsoku/>
              <w:wordWrap/>
              <w:overflowPunct/>
              <w:topLinePunct w:val="0"/>
              <w:autoSpaceDE/>
              <w:autoSpaceDN/>
              <w:bidi w:val="0"/>
              <w:spacing w:line="240" w:lineRule="auto"/>
              <w:jc w:val="both"/>
              <w:textAlignment w:val="auto"/>
              <w:rPr>
                <w:rFonts w:hint="default" w:eastAsia="宋体"/>
                <w:color w:val="auto"/>
                <w:lang w:val="en-US" w:eastAsia="zh-CN"/>
              </w:rPr>
            </w:pPr>
            <w:r>
              <w:rPr>
                <w:rFonts w:hint="eastAsia"/>
                <w:color w:val="auto"/>
              </w:rPr>
              <w:t>站内的道路宽度能够满足消防救援车辆的通过</w:t>
            </w:r>
          </w:p>
        </w:tc>
        <w:tc>
          <w:tcPr>
            <w:tcW w:w="795" w:type="dxa"/>
            <w:noWrap w:val="0"/>
            <w:vAlign w:val="center"/>
          </w:tcPr>
          <w:p w14:paraId="18E24286">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color w:val="auto"/>
              </w:rPr>
            </w:pPr>
            <w:r>
              <w:rPr>
                <w:rFonts w:hint="eastAsia"/>
                <w:color w:val="auto"/>
                <w:sz w:val="21"/>
                <w:szCs w:val="21"/>
                <w:lang w:val="en-US" w:eastAsia="zh-CN"/>
              </w:rPr>
              <w:t>采纳落实</w:t>
            </w:r>
          </w:p>
        </w:tc>
      </w:tr>
      <w:tr w14:paraId="2636A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286" w:type="dxa"/>
            <w:gridSpan w:val="3"/>
            <w:noWrap w:val="0"/>
            <w:vAlign w:val="top"/>
          </w:tcPr>
          <w:p w14:paraId="2EBE5599">
            <w:pPr>
              <w:pStyle w:val="43"/>
              <w:keepNext w:val="0"/>
              <w:keepLines w:val="0"/>
              <w:pageBreakBefore w:val="0"/>
              <w:widowControl w:val="0"/>
              <w:kinsoku/>
              <w:wordWrap/>
              <w:overflowPunct/>
              <w:topLinePunct w:val="0"/>
              <w:autoSpaceDE/>
              <w:autoSpaceDN/>
              <w:bidi w:val="0"/>
              <w:spacing w:before="0" w:after="0" w:line="320" w:lineRule="exact"/>
              <w:ind w:firstLine="0" w:firstLineChars="0"/>
              <w:textAlignment w:val="auto"/>
              <w:rPr>
                <w:rFonts w:hint="eastAsia"/>
                <w:color w:val="auto"/>
                <w:sz w:val="21"/>
                <w:szCs w:val="21"/>
              </w:rPr>
            </w:pPr>
            <w:bookmarkStart w:id="61" w:name="_Toc6891"/>
            <w:bookmarkStart w:id="62" w:name="_Toc31817"/>
            <w:r>
              <w:rPr>
                <w:rFonts w:hint="eastAsia"/>
                <w:b/>
                <w:bCs/>
                <w:color w:val="auto"/>
                <w:sz w:val="21"/>
                <w:szCs w:val="21"/>
              </w:rPr>
              <w:t>4.3 设备及管道</w:t>
            </w:r>
            <w:bookmarkEnd w:id="61"/>
            <w:bookmarkEnd w:id="62"/>
          </w:p>
        </w:tc>
      </w:tr>
      <w:tr w14:paraId="393A0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286" w:type="dxa"/>
            <w:gridSpan w:val="3"/>
            <w:noWrap w:val="0"/>
            <w:vAlign w:val="top"/>
          </w:tcPr>
          <w:p w14:paraId="473CD4EF">
            <w:pPr>
              <w:pStyle w:val="43"/>
              <w:keepNext w:val="0"/>
              <w:keepLines w:val="0"/>
              <w:pageBreakBefore w:val="0"/>
              <w:widowControl w:val="0"/>
              <w:kinsoku/>
              <w:wordWrap/>
              <w:overflowPunct/>
              <w:topLinePunct w:val="0"/>
              <w:autoSpaceDE/>
              <w:autoSpaceDN/>
              <w:bidi w:val="0"/>
              <w:spacing w:before="0" w:after="0" w:line="320" w:lineRule="exact"/>
              <w:ind w:firstLine="0" w:firstLineChars="0"/>
              <w:textAlignment w:val="auto"/>
              <w:rPr>
                <w:rFonts w:hint="eastAsia"/>
                <w:b/>
                <w:bCs/>
                <w:color w:val="auto"/>
                <w:sz w:val="21"/>
                <w:szCs w:val="21"/>
              </w:rPr>
            </w:pPr>
            <w:r>
              <w:rPr>
                <w:rFonts w:hint="eastAsia"/>
                <w:b/>
                <w:bCs/>
                <w:color w:val="auto"/>
                <w:sz w:val="21"/>
                <w:szCs w:val="21"/>
              </w:rPr>
              <w:t>4.3.2 主要设备、管道材料的选择和防护措施</w:t>
            </w:r>
          </w:p>
        </w:tc>
      </w:tr>
      <w:tr w14:paraId="4795A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8" w:type="dxa"/>
            <w:noWrap w:val="0"/>
            <w:vAlign w:val="top"/>
          </w:tcPr>
          <w:p w14:paraId="2C1F373B">
            <w:pPr>
              <w:pStyle w:val="43"/>
              <w:keepNext w:val="0"/>
              <w:keepLines w:val="0"/>
              <w:pageBreakBefore w:val="0"/>
              <w:widowControl w:val="0"/>
              <w:kinsoku/>
              <w:wordWrap/>
              <w:overflowPunct/>
              <w:topLinePunct w:val="0"/>
              <w:autoSpaceDE/>
              <w:autoSpaceDN/>
              <w:bidi w:val="0"/>
              <w:spacing w:line="320" w:lineRule="exact"/>
              <w:jc w:val="both"/>
              <w:textAlignment w:val="auto"/>
              <w:rPr>
                <w:rFonts w:hint="eastAsia"/>
                <w:color w:val="auto"/>
                <w:lang w:val="zh-CN"/>
              </w:rPr>
            </w:pPr>
            <w:r>
              <w:rPr>
                <w:rFonts w:hint="eastAsia"/>
                <w:color w:val="auto"/>
                <w:lang w:val="zh-CN"/>
              </w:rPr>
              <w:t>1、主要设备、管道材料的选择</w:t>
            </w:r>
          </w:p>
          <w:p w14:paraId="72606B46">
            <w:pPr>
              <w:pStyle w:val="43"/>
              <w:keepNext w:val="0"/>
              <w:keepLines w:val="0"/>
              <w:pageBreakBefore w:val="0"/>
              <w:widowControl w:val="0"/>
              <w:kinsoku/>
              <w:wordWrap/>
              <w:overflowPunct/>
              <w:topLinePunct w:val="0"/>
              <w:autoSpaceDE/>
              <w:autoSpaceDN/>
              <w:bidi w:val="0"/>
              <w:spacing w:line="320" w:lineRule="exact"/>
              <w:jc w:val="both"/>
              <w:textAlignment w:val="auto"/>
              <w:rPr>
                <w:rFonts w:hint="eastAsia"/>
                <w:color w:val="auto"/>
              </w:rPr>
            </w:pPr>
            <w:r>
              <w:rPr>
                <w:rFonts w:hint="eastAsia"/>
                <w:color w:val="auto"/>
                <w:lang w:eastAsia="zh-CN"/>
              </w:rPr>
              <w:t>撬</w:t>
            </w:r>
            <w:r>
              <w:rPr>
                <w:rFonts w:hint="eastAsia"/>
                <w:color w:val="auto"/>
              </w:rPr>
              <w:t>装式加油装置由供货商整体供应，油罐应采用双壁</w:t>
            </w:r>
            <w:r>
              <w:rPr>
                <w:rFonts w:hint="eastAsia"/>
                <w:color w:val="auto"/>
                <w:lang w:eastAsia="zh-CN"/>
              </w:rPr>
              <w:t>钢质</w:t>
            </w:r>
            <w:r>
              <w:rPr>
                <w:rFonts w:hint="eastAsia"/>
                <w:color w:val="auto"/>
              </w:rPr>
              <w:t>油罐。</w:t>
            </w:r>
          </w:p>
        </w:tc>
        <w:tc>
          <w:tcPr>
            <w:tcW w:w="1223" w:type="dxa"/>
            <w:noWrap w:val="0"/>
            <w:vAlign w:val="center"/>
          </w:tcPr>
          <w:p w14:paraId="2509CD5F">
            <w:pPr>
              <w:pStyle w:val="43"/>
              <w:keepNext w:val="0"/>
              <w:keepLines w:val="0"/>
              <w:pageBreakBefore w:val="0"/>
              <w:widowControl w:val="0"/>
              <w:kinsoku/>
              <w:wordWrap/>
              <w:overflowPunct/>
              <w:topLinePunct w:val="0"/>
              <w:autoSpaceDE/>
              <w:autoSpaceDN/>
              <w:bidi w:val="0"/>
              <w:spacing w:line="320" w:lineRule="exact"/>
              <w:jc w:val="both"/>
              <w:textAlignment w:val="auto"/>
              <w:rPr>
                <w:rFonts w:hint="default" w:eastAsia="宋体"/>
                <w:color w:val="auto"/>
                <w:lang w:val="en-US" w:eastAsia="zh-CN"/>
              </w:rPr>
            </w:pPr>
            <w:r>
              <w:rPr>
                <w:rFonts w:hint="eastAsia"/>
                <w:color w:val="auto"/>
              </w:rPr>
              <w:t>油罐应采用双壁钢制油罐</w:t>
            </w:r>
          </w:p>
        </w:tc>
        <w:tc>
          <w:tcPr>
            <w:tcW w:w="795" w:type="dxa"/>
            <w:noWrap w:val="0"/>
            <w:vAlign w:val="center"/>
          </w:tcPr>
          <w:p w14:paraId="56B7D2D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rPr>
            </w:pPr>
            <w:r>
              <w:rPr>
                <w:rFonts w:hint="eastAsia"/>
                <w:color w:val="auto"/>
                <w:sz w:val="21"/>
                <w:szCs w:val="21"/>
                <w:lang w:val="en-US" w:eastAsia="zh-CN"/>
              </w:rPr>
              <w:t>采纳落实</w:t>
            </w:r>
          </w:p>
        </w:tc>
      </w:tr>
      <w:tr w14:paraId="0B69D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8" w:type="dxa"/>
            <w:noWrap w:val="0"/>
            <w:vAlign w:val="top"/>
          </w:tcPr>
          <w:p w14:paraId="4879301D">
            <w:pPr>
              <w:pStyle w:val="43"/>
              <w:keepNext w:val="0"/>
              <w:keepLines w:val="0"/>
              <w:pageBreakBefore w:val="0"/>
              <w:widowControl w:val="0"/>
              <w:kinsoku/>
              <w:wordWrap/>
              <w:overflowPunct/>
              <w:topLinePunct w:val="0"/>
              <w:autoSpaceDE/>
              <w:autoSpaceDN/>
              <w:bidi w:val="0"/>
              <w:spacing w:line="320" w:lineRule="exact"/>
              <w:jc w:val="both"/>
              <w:textAlignment w:val="auto"/>
              <w:rPr>
                <w:rFonts w:hint="eastAsia"/>
                <w:color w:val="auto"/>
                <w:lang w:val="zh-CN"/>
              </w:rPr>
            </w:pPr>
            <w:r>
              <w:rPr>
                <w:rFonts w:hint="eastAsia"/>
                <w:color w:val="auto"/>
                <w:lang w:val="zh-CN"/>
              </w:rPr>
              <w:t>2、主要设备、管道的防护措施</w:t>
            </w:r>
          </w:p>
          <w:p w14:paraId="584B504E">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（一）采用金属阻隔防爆装置，阻隔防爆装置的选用和安装按现行标准《阻隔防爆撬装式汽车加油（气）装置技术要求》AQ3002的有关规定执行，装置材质为不锈钢。</w:t>
            </w:r>
          </w:p>
          <w:p w14:paraId="74148627">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二）自用撬装式加油装置储罐的内罐设计压力0.8MPa，建造符合《固定式压力容器安全技术监察规程》TSG21、国家现行标准《压力容器》GB150.1～GB150.4、《卧式容器》NB/T47042和《石油化工钢制压力容器》SH/T3074的有关规定。</w:t>
            </w:r>
          </w:p>
          <w:p w14:paraId="0A2EF16F">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（三）双壁钢制油罐的外罐，设计压力可为常压，建造符合现行行业标准《钢制焊接常压容器》NB/T47003.1的有关规定。</w:t>
            </w:r>
          </w:p>
          <w:p w14:paraId="4A8EF86E">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（四）双壁钢制油罐两层罐壁之间的空间设计渗漏检测装置，渗漏检测点位于双层罐夹层最低点，保证内罐与外罐任何部位出现渗漏时均能发现，设渗漏检测立管，符合下列规定：</w:t>
            </w:r>
          </w:p>
          <w:p w14:paraId="3FB87DB2">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1、检测立管采用钢管，直径为80mm，壁厚不小于4mm。</w:t>
            </w:r>
          </w:p>
          <w:p w14:paraId="3F9DB620">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2、检测立管位于油罐顶部的纵向中心线上。</w:t>
            </w:r>
          </w:p>
          <w:p w14:paraId="6BA8578B">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3、检测立管的底部管口与油罐内、外壁间隙相连通，顶部管口装防尘盖。</w:t>
            </w:r>
          </w:p>
          <w:p w14:paraId="06683CBD">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4、检测立管满足人工检测和在线监测的要求，并保证油罐内、外壁任何部位出现渗漏均能被发现。</w:t>
            </w:r>
          </w:p>
          <w:p w14:paraId="06407E37">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（五）油罐采用钢制人孔盖，DN500。</w:t>
            </w:r>
          </w:p>
          <w:p w14:paraId="4429DAAE">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（六）加油枪采用自封式加油枪。</w:t>
            </w:r>
          </w:p>
          <w:p w14:paraId="72ED20EB">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（七）加油软管上设安全拉断阀。</w:t>
            </w:r>
          </w:p>
          <w:p w14:paraId="1333A140">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（八）油罐车卸油必须采用密闭卸油方式。</w:t>
            </w:r>
          </w:p>
          <w:p w14:paraId="7CC77AC6">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（九）卸油接口及油气回收接口，有明显的标识。</w:t>
            </w:r>
          </w:p>
          <w:p w14:paraId="26AD4778">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（十）卸油接口装设快速接头及密封盖。</w:t>
            </w:r>
          </w:p>
          <w:p w14:paraId="04675D58">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（十一）自用撬装式加油装置采用卸油油气回收系统时，其设计符合下列规定：卸油油气回收管道的接口采用自闭式快速接头。采用非自闭式快速接头时，在靠近快速接头的连接管道上装设阀门。</w:t>
            </w:r>
          </w:p>
          <w:p w14:paraId="69BA376D">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（十二）油罐的接合管设置符合下列规定：</w:t>
            </w:r>
          </w:p>
          <w:p w14:paraId="53B96BB2">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1、接合管为金属材质。</w:t>
            </w:r>
          </w:p>
          <w:p w14:paraId="4EA6BE24">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2、接合管设在油罐的顶部，其中进油接合管、出油接合管安装口，设在人孔盖上。</w:t>
            </w:r>
          </w:p>
          <w:p w14:paraId="29531E7F">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3、进油管伸至罐内距罐底50mm处。进油立管的底端为45°斜管口。进油管管壁上不得有与油罐气相空间相通的开口。</w:t>
            </w:r>
          </w:p>
          <w:p w14:paraId="0AD437C5">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4、通往自吸式加油机管道的罐内底阀，高于罐底150mm。油罐的量油孔设带锁的量油帽。</w:t>
            </w:r>
          </w:p>
          <w:p w14:paraId="76D4712D">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（十三）阻火式呼吸阀的公称直径50mm，高出装置1.6m。</w:t>
            </w:r>
          </w:p>
          <w:p w14:paraId="75F836CE">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（十四）自用撬装式加油装置工艺管道的选用，符合下列规定：</w:t>
            </w:r>
          </w:p>
          <w:p w14:paraId="6B34AA38">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1、油罐通气管道和露出地面的管道，采用符合现行国家标准《输送流体用无缝钢管》GB/T8163的无缝钢管。</w:t>
            </w:r>
          </w:p>
          <w:p w14:paraId="5A4195FA">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2、无缝钢管的连接采用焊接。</w:t>
            </w:r>
          </w:p>
          <w:p w14:paraId="1659FF4D">
            <w:pPr>
              <w:keepNext w:val="0"/>
              <w:keepLines w:val="0"/>
              <w:pageBreakBefore w:val="0"/>
              <w:widowControl w:val="0"/>
              <w:kinsoku/>
              <w:wordWrap/>
              <w:overflowPunct/>
              <w:topLinePunct w:val="0"/>
              <w:autoSpaceDE/>
              <w:autoSpaceDN/>
              <w:bidi w:val="0"/>
              <w:adjustRightInd w:val="0"/>
              <w:snapToGrid w:val="0"/>
              <w:spacing w:line="320" w:lineRule="exact"/>
              <w:ind w:firstLine="420" w:firstLineChars="200"/>
              <w:textAlignment w:val="auto"/>
              <w:rPr>
                <w:rFonts w:hint="eastAsia"/>
                <w:color w:val="auto"/>
              </w:rPr>
            </w:pPr>
            <w:r>
              <w:rPr>
                <w:rFonts w:hint="eastAsia" w:ascii="Times New Roman" w:hAnsi="Times New Roman" w:eastAsia="宋体" w:cs="Times New Roman"/>
                <w:color w:val="auto"/>
                <w:kern w:val="18"/>
                <w:sz w:val="21"/>
                <w:szCs w:val="21"/>
                <w:lang w:val="en-US" w:eastAsia="zh-CN" w:bidi="ar-SA"/>
              </w:rPr>
              <w:t>3、不导静电热塑性塑料管道主体结构层的介电击穿强度大于100kV。</w:t>
            </w:r>
          </w:p>
        </w:tc>
        <w:tc>
          <w:tcPr>
            <w:tcW w:w="1223" w:type="dxa"/>
            <w:noWrap w:val="0"/>
            <w:vAlign w:val="center"/>
          </w:tcPr>
          <w:p w14:paraId="72A99A5A">
            <w:pPr>
              <w:pStyle w:val="43"/>
              <w:keepNext w:val="0"/>
              <w:keepLines w:val="0"/>
              <w:pageBreakBefore w:val="0"/>
              <w:widowControl w:val="0"/>
              <w:kinsoku/>
              <w:wordWrap/>
              <w:overflowPunct/>
              <w:topLinePunct w:val="0"/>
              <w:autoSpaceDE/>
              <w:autoSpaceDN/>
              <w:bidi w:val="0"/>
              <w:spacing w:line="320" w:lineRule="exact"/>
              <w:jc w:val="both"/>
              <w:textAlignment w:val="auto"/>
              <w:rPr>
                <w:rFonts w:hint="default" w:eastAsia="宋体"/>
                <w:color w:val="auto"/>
                <w:lang w:val="en-US" w:eastAsia="zh-CN"/>
              </w:rPr>
            </w:pPr>
            <w:r>
              <w:rPr>
                <w:rFonts w:hint="eastAsia"/>
                <w:color w:val="auto"/>
                <w:lang w:eastAsia="zh-CN"/>
              </w:rPr>
              <w:t>撬</w:t>
            </w:r>
            <w:r>
              <w:rPr>
                <w:rFonts w:hint="eastAsia"/>
                <w:color w:val="auto"/>
              </w:rPr>
              <w:t>装式加油装置作为整体产品、由供货商整体供应</w:t>
            </w:r>
            <w:r>
              <w:rPr>
                <w:rFonts w:hint="eastAsia"/>
                <w:color w:val="auto"/>
                <w:lang w:eastAsia="zh-CN"/>
              </w:rPr>
              <w:t>，</w:t>
            </w:r>
            <w:r>
              <w:rPr>
                <w:rFonts w:hint="eastAsia"/>
                <w:color w:val="auto"/>
                <w:lang w:val="en-US" w:eastAsia="zh-CN"/>
              </w:rPr>
              <w:t>设备符合所述要求</w:t>
            </w:r>
          </w:p>
        </w:tc>
        <w:tc>
          <w:tcPr>
            <w:tcW w:w="795" w:type="dxa"/>
            <w:noWrap w:val="0"/>
            <w:vAlign w:val="center"/>
          </w:tcPr>
          <w:p w14:paraId="548F0C0C">
            <w:pPr>
              <w:keepNext w:val="0"/>
              <w:keepLines w:val="0"/>
              <w:pageBreakBefore w:val="0"/>
              <w:widowControl w:val="0"/>
              <w:kinsoku/>
              <w:wordWrap/>
              <w:overflowPunct/>
              <w:topLinePunct w:val="0"/>
              <w:autoSpaceDE/>
              <w:autoSpaceDN/>
              <w:bidi w:val="0"/>
              <w:spacing w:line="320" w:lineRule="exact"/>
              <w:ind w:firstLine="0" w:firstLineChars="0"/>
              <w:jc w:val="center"/>
              <w:textAlignment w:val="auto"/>
              <w:rPr>
                <w:color w:val="auto"/>
              </w:rPr>
            </w:pPr>
            <w:r>
              <w:rPr>
                <w:rFonts w:hint="eastAsia"/>
                <w:color w:val="auto"/>
                <w:sz w:val="21"/>
                <w:szCs w:val="21"/>
                <w:lang w:val="en-US" w:eastAsia="zh-CN"/>
              </w:rPr>
              <w:t>采纳落实</w:t>
            </w:r>
          </w:p>
        </w:tc>
      </w:tr>
      <w:tr w14:paraId="7BF0B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86" w:type="dxa"/>
            <w:gridSpan w:val="3"/>
            <w:noWrap w:val="0"/>
            <w:vAlign w:val="top"/>
          </w:tcPr>
          <w:p w14:paraId="0E635B4B">
            <w:pPr>
              <w:keepNext w:val="0"/>
              <w:keepLines w:val="0"/>
              <w:pageBreakBefore w:val="0"/>
              <w:widowControl w:val="0"/>
              <w:kinsoku/>
              <w:wordWrap/>
              <w:overflowPunct/>
              <w:topLinePunct w:val="0"/>
              <w:autoSpaceDE/>
              <w:autoSpaceDN/>
              <w:bidi w:val="0"/>
              <w:spacing w:line="320" w:lineRule="exact"/>
              <w:ind w:firstLine="0" w:firstLineChars="0"/>
              <w:jc w:val="center"/>
              <w:textAlignment w:val="auto"/>
              <w:rPr>
                <w:rFonts w:hint="eastAsia"/>
                <w:color w:val="auto"/>
                <w:sz w:val="21"/>
                <w:szCs w:val="21"/>
              </w:rPr>
            </w:pPr>
            <w:bookmarkStart w:id="63" w:name="_Toc4382"/>
            <w:r>
              <w:rPr>
                <w:rFonts w:hint="eastAsia"/>
                <w:b/>
                <w:bCs/>
                <w:color w:val="auto"/>
                <w:sz w:val="21"/>
                <w:szCs w:val="21"/>
              </w:rPr>
              <w:t>4.4 电气</w:t>
            </w:r>
            <w:bookmarkEnd w:id="63"/>
          </w:p>
        </w:tc>
      </w:tr>
      <w:tr w14:paraId="23889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9286" w:type="dxa"/>
            <w:gridSpan w:val="3"/>
            <w:noWrap w:val="0"/>
            <w:vAlign w:val="top"/>
          </w:tcPr>
          <w:p w14:paraId="747BA7C0">
            <w:pPr>
              <w:keepNext w:val="0"/>
              <w:keepLines w:val="0"/>
              <w:pageBreakBefore w:val="0"/>
              <w:widowControl w:val="0"/>
              <w:kinsoku/>
              <w:wordWrap/>
              <w:overflowPunct/>
              <w:topLinePunct w:val="0"/>
              <w:autoSpaceDE/>
              <w:autoSpaceDN/>
              <w:bidi w:val="0"/>
              <w:spacing w:line="320" w:lineRule="exact"/>
              <w:ind w:firstLine="0" w:firstLineChars="0"/>
              <w:jc w:val="center"/>
              <w:textAlignment w:val="auto"/>
              <w:rPr>
                <w:rFonts w:hint="eastAsia"/>
                <w:b/>
                <w:bCs/>
                <w:color w:val="auto"/>
                <w:sz w:val="21"/>
                <w:szCs w:val="21"/>
              </w:rPr>
            </w:pPr>
            <w:r>
              <w:rPr>
                <w:rFonts w:hint="eastAsia"/>
                <w:b/>
                <w:bCs/>
                <w:color w:val="auto"/>
                <w:sz w:val="21"/>
                <w:szCs w:val="21"/>
              </w:rPr>
              <w:t>4.4.1 供电电源、电气负荷分类、应急或备用电源的设置</w:t>
            </w:r>
          </w:p>
        </w:tc>
      </w:tr>
      <w:tr w14:paraId="1488E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7268" w:type="dxa"/>
            <w:noWrap w:val="0"/>
            <w:vAlign w:val="top"/>
          </w:tcPr>
          <w:p w14:paraId="318C0FA7">
            <w:pPr>
              <w:pStyle w:val="43"/>
              <w:keepNext w:val="0"/>
              <w:keepLines w:val="0"/>
              <w:pageBreakBefore w:val="0"/>
              <w:widowControl w:val="0"/>
              <w:kinsoku/>
              <w:wordWrap/>
              <w:overflowPunct/>
              <w:topLinePunct w:val="0"/>
              <w:autoSpaceDE/>
              <w:autoSpaceDN/>
              <w:bidi w:val="0"/>
              <w:spacing w:line="320" w:lineRule="exact"/>
              <w:jc w:val="left"/>
              <w:textAlignment w:val="auto"/>
              <w:rPr>
                <w:rFonts w:hint="eastAsia"/>
                <w:color w:val="auto"/>
              </w:rPr>
            </w:pPr>
            <w:r>
              <w:rPr>
                <w:rFonts w:hint="eastAsia"/>
                <w:color w:val="auto"/>
              </w:rPr>
              <w:t>用电通过厂区原有变压器接入，通过埋地填沙电缆沟敷设至自用撬装加油装置，其电力能满足装置供电。照明和卸车油泵使用380V的交流电压。</w:t>
            </w:r>
          </w:p>
          <w:p w14:paraId="7A3B28C7">
            <w:pPr>
              <w:pStyle w:val="43"/>
              <w:keepNext w:val="0"/>
              <w:keepLines w:val="0"/>
              <w:pageBreakBefore w:val="0"/>
              <w:widowControl w:val="0"/>
              <w:kinsoku/>
              <w:wordWrap/>
              <w:overflowPunct/>
              <w:topLinePunct w:val="0"/>
              <w:autoSpaceDE/>
              <w:autoSpaceDN/>
              <w:bidi w:val="0"/>
              <w:spacing w:line="320" w:lineRule="exact"/>
              <w:jc w:val="left"/>
              <w:textAlignment w:val="auto"/>
              <w:rPr>
                <w:rFonts w:hint="eastAsia"/>
                <w:color w:val="auto"/>
              </w:rPr>
            </w:pPr>
            <w:r>
              <w:rPr>
                <w:rFonts w:hint="eastAsia"/>
                <w:color w:val="auto"/>
              </w:rPr>
              <w:t>本项目自动控制系统、液位监控系统、紧急切断系统系统为一级负荷中特别重要的负荷。视频监控系统为二级用电负荷，配置在线式不间断电源，UPS电池连续供电时间不小于60min。其它用电负荷为三级。</w:t>
            </w:r>
          </w:p>
        </w:tc>
        <w:tc>
          <w:tcPr>
            <w:tcW w:w="1223" w:type="dxa"/>
            <w:noWrap w:val="0"/>
            <w:vAlign w:val="center"/>
          </w:tcPr>
          <w:p w14:paraId="53D50835">
            <w:pPr>
              <w:pStyle w:val="43"/>
              <w:keepNext w:val="0"/>
              <w:keepLines w:val="0"/>
              <w:pageBreakBefore w:val="0"/>
              <w:widowControl w:val="0"/>
              <w:kinsoku/>
              <w:wordWrap/>
              <w:overflowPunct/>
              <w:topLinePunct w:val="0"/>
              <w:autoSpaceDE/>
              <w:autoSpaceDN/>
              <w:bidi w:val="0"/>
              <w:spacing w:line="320" w:lineRule="exact"/>
              <w:jc w:val="left"/>
              <w:textAlignment w:val="auto"/>
              <w:rPr>
                <w:rFonts w:hint="default" w:eastAsia="宋体"/>
                <w:b w:val="0"/>
                <w:bCs w:val="0"/>
                <w:color w:val="auto"/>
                <w:lang w:val="en-US" w:eastAsia="zh-CN"/>
              </w:rPr>
            </w:pPr>
            <w:r>
              <w:rPr>
                <w:rFonts w:hint="eastAsia"/>
                <w:b w:val="0"/>
                <w:bCs w:val="0"/>
                <w:color w:val="auto"/>
                <w:lang w:val="en-US" w:eastAsia="zh-CN"/>
              </w:rPr>
              <w:t>矿区有备用应急柴油发电机，可作为自动控制系统、液位监控系统、紧急切断系统、视频监控系统的备用电源。</w:t>
            </w:r>
          </w:p>
        </w:tc>
        <w:tc>
          <w:tcPr>
            <w:tcW w:w="795" w:type="dxa"/>
            <w:noWrap w:val="0"/>
            <w:vAlign w:val="center"/>
          </w:tcPr>
          <w:p w14:paraId="05994D9F">
            <w:pPr>
              <w:keepNext w:val="0"/>
              <w:keepLines w:val="0"/>
              <w:pageBreakBefore w:val="0"/>
              <w:widowControl w:val="0"/>
              <w:kinsoku/>
              <w:wordWrap/>
              <w:overflowPunct/>
              <w:topLinePunct w:val="0"/>
              <w:autoSpaceDE/>
              <w:autoSpaceDN/>
              <w:bidi w:val="0"/>
              <w:spacing w:line="320" w:lineRule="exact"/>
              <w:ind w:firstLine="0" w:firstLineChars="0"/>
              <w:jc w:val="left"/>
              <w:textAlignment w:val="auto"/>
              <w:rPr>
                <w:b w:val="0"/>
                <w:bCs w:val="0"/>
                <w:color w:val="auto"/>
              </w:rPr>
            </w:pPr>
            <w:r>
              <w:rPr>
                <w:rFonts w:hint="eastAsia"/>
                <w:b w:val="0"/>
                <w:bCs w:val="0"/>
                <w:color w:val="auto"/>
                <w:sz w:val="21"/>
                <w:szCs w:val="21"/>
                <w:lang w:val="en-US" w:eastAsia="zh-CN"/>
              </w:rPr>
              <w:t>采纳落实</w:t>
            </w:r>
          </w:p>
        </w:tc>
      </w:tr>
      <w:tr w14:paraId="4F829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286" w:type="dxa"/>
            <w:gridSpan w:val="3"/>
            <w:noWrap w:val="0"/>
            <w:vAlign w:val="top"/>
          </w:tcPr>
          <w:p w14:paraId="30389FE8">
            <w:pPr>
              <w:pStyle w:val="43"/>
              <w:keepNext w:val="0"/>
              <w:keepLines w:val="0"/>
              <w:pageBreakBefore w:val="0"/>
              <w:widowControl w:val="0"/>
              <w:kinsoku/>
              <w:wordWrap/>
              <w:overflowPunct/>
              <w:topLinePunct w:val="0"/>
              <w:autoSpaceDE/>
              <w:autoSpaceDN/>
              <w:bidi w:val="0"/>
              <w:spacing w:before="0" w:after="0" w:line="320" w:lineRule="exact"/>
              <w:ind w:firstLine="0" w:firstLineChars="0"/>
              <w:textAlignment w:val="auto"/>
              <w:rPr>
                <w:color w:val="auto"/>
              </w:rPr>
            </w:pPr>
            <w:r>
              <w:rPr>
                <w:b/>
                <w:bCs/>
                <w:color w:val="auto"/>
              </w:rPr>
              <w:t>4.4.2</w:t>
            </w:r>
            <w:r>
              <w:rPr>
                <w:rFonts w:hint="eastAsia"/>
                <w:b/>
                <w:bCs/>
                <w:color w:val="auto"/>
                <w:lang w:val="en-US" w:eastAsia="zh-CN"/>
              </w:rPr>
              <w:t xml:space="preserve"> </w:t>
            </w:r>
            <w:r>
              <w:rPr>
                <w:b/>
                <w:bCs/>
                <w:color w:val="auto"/>
              </w:rPr>
              <w:t>按照爆炸危险区域划分等级和火灾危险场所选择电气设备的防爆及防护等级</w:t>
            </w:r>
          </w:p>
        </w:tc>
      </w:tr>
      <w:tr w14:paraId="6B15F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8" w:type="dxa"/>
            <w:noWrap w:val="0"/>
            <w:vAlign w:val="top"/>
          </w:tcPr>
          <w:p w14:paraId="2E14EB5F">
            <w:pPr>
              <w:pStyle w:val="43"/>
              <w:keepNext w:val="0"/>
              <w:keepLines w:val="0"/>
              <w:pageBreakBefore w:val="0"/>
              <w:widowControl w:val="0"/>
              <w:kinsoku/>
              <w:wordWrap/>
              <w:overflowPunct/>
              <w:topLinePunct w:val="0"/>
              <w:autoSpaceDE/>
              <w:autoSpaceDN/>
              <w:bidi w:val="0"/>
              <w:spacing w:line="320" w:lineRule="exact"/>
              <w:jc w:val="both"/>
              <w:textAlignment w:val="auto"/>
              <w:rPr>
                <w:rFonts w:hint="eastAsia" w:ascii="Times New Roman" w:hAnsi="Times New Roman" w:eastAsia="宋体" w:cs="Times New Roman"/>
                <w:color w:val="auto"/>
              </w:rPr>
            </w:pPr>
            <w:r>
              <w:rPr>
                <w:rFonts w:hint="eastAsia" w:ascii="Times New Roman" w:hAnsi="Times New Roman" w:eastAsia="宋体" w:cs="Times New Roman"/>
                <w:color w:val="auto"/>
              </w:rPr>
              <w:t>柴油不涉及爆炸危险区域。</w:t>
            </w:r>
          </w:p>
        </w:tc>
        <w:tc>
          <w:tcPr>
            <w:tcW w:w="1223" w:type="dxa"/>
            <w:noWrap w:val="0"/>
            <w:vAlign w:val="center"/>
          </w:tcPr>
          <w:p w14:paraId="076588B8">
            <w:pPr>
              <w:pStyle w:val="43"/>
              <w:keepNext w:val="0"/>
              <w:keepLines w:val="0"/>
              <w:pageBreakBefore w:val="0"/>
              <w:widowControl w:val="0"/>
              <w:kinsoku/>
              <w:wordWrap/>
              <w:overflowPunct/>
              <w:topLinePunct w:val="0"/>
              <w:autoSpaceDE/>
              <w:autoSpaceDN/>
              <w:bidi w:val="0"/>
              <w:spacing w:line="320" w:lineRule="exact"/>
              <w:jc w:val="center"/>
              <w:textAlignment w:val="auto"/>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val="en-US" w:eastAsia="zh-CN"/>
              </w:rPr>
              <w:t>/</w:t>
            </w:r>
          </w:p>
        </w:tc>
        <w:tc>
          <w:tcPr>
            <w:tcW w:w="795" w:type="dxa"/>
            <w:noWrap w:val="0"/>
            <w:vAlign w:val="center"/>
          </w:tcPr>
          <w:p w14:paraId="631BD723">
            <w:pPr>
              <w:pStyle w:val="43"/>
              <w:keepNext w:val="0"/>
              <w:keepLines w:val="0"/>
              <w:pageBreakBefore w:val="0"/>
              <w:widowControl w:val="0"/>
              <w:kinsoku/>
              <w:wordWrap/>
              <w:overflowPunct/>
              <w:topLinePunct w:val="0"/>
              <w:autoSpaceDE/>
              <w:autoSpaceDN/>
              <w:bidi w:val="0"/>
              <w:spacing w:line="320" w:lineRule="exact"/>
              <w:jc w:val="center"/>
              <w:textAlignment w:val="auto"/>
              <w:rPr>
                <w:rFonts w:hint="eastAsia" w:ascii="Times New Roman" w:hAnsi="Times New Roman" w:eastAsia="宋体" w:cs="Times New Roman"/>
                <w:color w:val="auto"/>
              </w:rPr>
            </w:pPr>
            <w:r>
              <w:rPr>
                <w:rFonts w:hint="eastAsia" w:ascii="Times New Roman" w:hAnsi="Times New Roman" w:eastAsia="宋体" w:cs="Times New Roman"/>
                <w:color w:val="auto"/>
                <w:lang w:val="en-US" w:eastAsia="zh-CN"/>
              </w:rPr>
              <w:t>/</w:t>
            </w:r>
          </w:p>
        </w:tc>
      </w:tr>
      <w:tr w14:paraId="62F50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286" w:type="dxa"/>
            <w:gridSpan w:val="3"/>
            <w:noWrap w:val="0"/>
            <w:vAlign w:val="top"/>
          </w:tcPr>
          <w:p w14:paraId="0697CE3B">
            <w:pPr>
              <w:pStyle w:val="43"/>
              <w:keepNext w:val="0"/>
              <w:keepLines w:val="0"/>
              <w:pageBreakBefore w:val="0"/>
              <w:widowControl w:val="0"/>
              <w:kinsoku/>
              <w:wordWrap/>
              <w:overflowPunct/>
              <w:topLinePunct w:val="0"/>
              <w:autoSpaceDE/>
              <w:autoSpaceDN/>
              <w:bidi w:val="0"/>
              <w:spacing w:before="0" w:after="0" w:line="320" w:lineRule="exact"/>
              <w:ind w:firstLine="0" w:firstLineChars="0"/>
              <w:jc w:val="center"/>
              <w:textAlignment w:val="auto"/>
              <w:rPr>
                <w:rFonts w:hint="eastAsia"/>
                <w:color w:val="auto"/>
              </w:rPr>
            </w:pPr>
            <w:r>
              <w:rPr>
                <w:rFonts w:hint="eastAsia"/>
                <w:b/>
                <w:bCs/>
                <w:color w:val="auto"/>
              </w:rPr>
              <w:t>4.4.3 防雷、防静电接地设施</w:t>
            </w:r>
          </w:p>
        </w:tc>
      </w:tr>
      <w:tr w14:paraId="763AC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8" w:type="dxa"/>
            <w:noWrap w:val="0"/>
            <w:vAlign w:val="top"/>
          </w:tcPr>
          <w:p w14:paraId="27B9C916">
            <w:pPr>
              <w:pStyle w:val="43"/>
              <w:keepNext w:val="0"/>
              <w:keepLines w:val="0"/>
              <w:pageBreakBefore w:val="0"/>
              <w:widowControl w:val="0"/>
              <w:kinsoku/>
              <w:wordWrap/>
              <w:overflowPunct/>
              <w:topLinePunct w:val="0"/>
              <w:autoSpaceDE/>
              <w:autoSpaceDN/>
              <w:bidi w:val="0"/>
              <w:spacing w:line="320" w:lineRule="exact"/>
              <w:jc w:val="both"/>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自用撬装加油装置属第二类防雷建筑物。装置油罐设置阻火式呼吸阀，可不设接闪杆。装置顶面为多层金属板，上层为金属板，其下为阻燃的夹层、吊顶材料，热镀锌钢板厚度大于0.5mm，利用顶棚作为接闪器。装置区摄像头金属杆接地，装置油罐的呼吸阀、液位仪孔、量油孔、人孔、法兰盖及其附着的金属构件均与罐体保持电气贯通，活动性金属附着构件采用截面积50mm</w:t>
            </w:r>
            <w:r>
              <w:rPr>
                <w:rFonts w:hint="eastAsia" w:ascii="Times New Roman" w:hAnsi="Times New Roman" w:eastAsia="宋体" w:cs="Times New Roman"/>
                <w:color w:val="auto"/>
                <w:kern w:val="18"/>
                <w:sz w:val="21"/>
                <w:szCs w:val="21"/>
                <w:vertAlign w:val="superscript"/>
                <w:lang w:val="en-US" w:eastAsia="zh-CN" w:bidi="ar-SA"/>
              </w:rPr>
              <w:t>2</w:t>
            </w:r>
            <w:r>
              <w:rPr>
                <w:rFonts w:hint="eastAsia" w:ascii="Times New Roman" w:hAnsi="Times New Roman" w:eastAsia="宋体" w:cs="Times New Roman"/>
                <w:color w:val="auto"/>
                <w:kern w:val="18"/>
                <w:sz w:val="21"/>
                <w:szCs w:val="21"/>
                <w:lang w:val="en-US" w:eastAsia="zh-CN" w:bidi="ar-SA"/>
              </w:rPr>
              <w:t>的软铜带与其附着体进行等电位连接。装置顶部的金属板、爬梯、装饰架等各类金属物保持电气贯通并就地接地。装置的防雷接地、防静电接地、电气设备的工作接地、保护接地及电子系统的接地采用联合接地系统，其接地电阻4Ω。装置利用基础内钢筋作为接地装置，基础内钢筋焊接连通形成网状，在装置轮廓线外沿四角和中部从基础内作业接地装置的钢筋焊接引出预留接地端子与撬装装置箱体底座连接，其接地端子为截面积100mm</w:t>
            </w:r>
            <w:r>
              <w:rPr>
                <w:rFonts w:hint="eastAsia" w:ascii="Times New Roman" w:hAnsi="Times New Roman" w:eastAsia="宋体" w:cs="Times New Roman"/>
                <w:color w:val="auto"/>
                <w:kern w:val="18"/>
                <w:sz w:val="21"/>
                <w:szCs w:val="21"/>
                <w:vertAlign w:val="superscript"/>
                <w:lang w:val="en-US" w:eastAsia="zh-CN" w:bidi="ar-SA"/>
              </w:rPr>
              <w:t>2</w:t>
            </w:r>
            <w:r>
              <w:rPr>
                <w:rFonts w:hint="eastAsia" w:ascii="Times New Roman" w:hAnsi="Times New Roman" w:eastAsia="宋体" w:cs="Times New Roman"/>
                <w:color w:val="auto"/>
                <w:kern w:val="18"/>
                <w:sz w:val="21"/>
                <w:szCs w:val="21"/>
                <w:lang w:val="en-US" w:eastAsia="zh-CN" w:bidi="ar-SA"/>
              </w:rPr>
              <w:t>的扁钢，接地连接线为横截面50mm</w:t>
            </w:r>
            <w:r>
              <w:rPr>
                <w:rFonts w:hint="eastAsia" w:ascii="Times New Roman" w:hAnsi="Times New Roman" w:eastAsia="宋体" w:cs="Times New Roman"/>
                <w:color w:val="auto"/>
                <w:kern w:val="18"/>
                <w:sz w:val="21"/>
                <w:szCs w:val="21"/>
                <w:vertAlign w:val="superscript"/>
                <w:lang w:val="en-US" w:eastAsia="zh-CN" w:bidi="ar-SA"/>
              </w:rPr>
              <w:t>2</w:t>
            </w:r>
            <w:r>
              <w:rPr>
                <w:rFonts w:hint="eastAsia" w:ascii="Times New Roman" w:hAnsi="Times New Roman" w:eastAsia="宋体" w:cs="Times New Roman"/>
                <w:color w:val="auto"/>
                <w:kern w:val="18"/>
                <w:sz w:val="21"/>
                <w:szCs w:val="21"/>
                <w:lang w:val="en-US" w:eastAsia="zh-CN" w:bidi="ar-SA"/>
              </w:rPr>
              <w:t>的软铜带。装置四周的金属防撞拦柱通过下预埋横截面50mm</w:t>
            </w:r>
            <w:r>
              <w:rPr>
                <w:rFonts w:hint="eastAsia" w:ascii="Times New Roman" w:hAnsi="Times New Roman" w:eastAsia="宋体" w:cs="Times New Roman"/>
                <w:color w:val="auto"/>
                <w:kern w:val="18"/>
                <w:sz w:val="21"/>
                <w:szCs w:val="21"/>
                <w:vertAlign w:val="superscript"/>
                <w:lang w:val="en-US" w:eastAsia="zh-CN" w:bidi="ar-SA"/>
              </w:rPr>
              <w:t>2</w:t>
            </w:r>
            <w:r>
              <w:rPr>
                <w:rFonts w:hint="eastAsia" w:ascii="Times New Roman" w:hAnsi="Times New Roman" w:eastAsia="宋体" w:cs="Times New Roman"/>
                <w:color w:val="auto"/>
                <w:kern w:val="18"/>
                <w:sz w:val="21"/>
                <w:szCs w:val="21"/>
                <w:lang w:val="en-US" w:eastAsia="zh-CN" w:bidi="ar-SA"/>
              </w:rPr>
              <w:t>的扁钢将各金属防撞拦柱连通并与撬装装置地网连通。装置箱体底部承重钢梁与油罐底部鞍座用横截面50mm</w:t>
            </w:r>
            <w:r>
              <w:rPr>
                <w:rFonts w:hint="eastAsia" w:ascii="Times New Roman" w:hAnsi="Times New Roman" w:eastAsia="宋体" w:cs="Times New Roman"/>
                <w:color w:val="auto"/>
                <w:kern w:val="18"/>
                <w:sz w:val="21"/>
                <w:szCs w:val="21"/>
                <w:vertAlign w:val="superscript"/>
                <w:lang w:val="en-US" w:eastAsia="zh-CN" w:bidi="ar-SA"/>
              </w:rPr>
              <w:t>2</w:t>
            </w:r>
            <w:r>
              <w:rPr>
                <w:rFonts w:hint="eastAsia" w:ascii="Times New Roman" w:hAnsi="Times New Roman" w:eastAsia="宋体" w:cs="Times New Roman"/>
                <w:color w:val="auto"/>
                <w:kern w:val="18"/>
                <w:sz w:val="21"/>
                <w:szCs w:val="21"/>
                <w:lang w:val="en-US" w:eastAsia="zh-CN" w:bidi="ar-SA"/>
              </w:rPr>
              <w:t>的软铜带跨接，跨接点2处。装置箱体底部承重钢梁与加油机除用螺栓连接外，用截面16mm</w:t>
            </w:r>
            <w:r>
              <w:rPr>
                <w:rFonts w:hint="eastAsia" w:ascii="Times New Roman" w:hAnsi="Times New Roman" w:eastAsia="宋体" w:cs="Times New Roman"/>
                <w:color w:val="auto"/>
                <w:kern w:val="18"/>
                <w:sz w:val="21"/>
                <w:szCs w:val="21"/>
                <w:vertAlign w:val="superscript"/>
                <w:lang w:val="en-US" w:eastAsia="zh-CN" w:bidi="ar-SA"/>
              </w:rPr>
              <w:t>2</w:t>
            </w:r>
            <w:r>
              <w:rPr>
                <w:rFonts w:hint="eastAsia" w:ascii="Times New Roman" w:hAnsi="Times New Roman" w:eastAsia="宋体" w:cs="Times New Roman"/>
                <w:color w:val="auto"/>
                <w:kern w:val="18"/>
                <w:sz w:val="21"/>
                <w:szCs w:val="21"/>
                <w:lang w:val="en-US" w:eastAsia="zh-CN" w:bidi="ar-SA"/>
              </w:rPr>
              <w:t>的铜线跨接，加油机就近接地，加油机与加油枪之间保持电气贯通。箱体所有的金属外壳物件保持电气贯通并就近接地。用于箱体底部调高的金属垫片与箱体金属底座焊接。装置的电气系统、电子系统线缆埋地敷设，采用铠装电缆，在进出装置交界面处，线缆金属外皮两端均接地。在动力配电柜进线处设置I级电涌保护器。装置电子系统配电线路首末端与电子器件连接处装设电子器件耐压水平相适应的SPD。电源SPD的相线连接线截面积为6mm</w:t>
            </w:r>
            <w:r>
              <w:rPr>
                <w:rFonts w:hint="eastAsia" w:ascii="Times New Roman" w:hAnsi="Times New Roman" w:eastAsia="宋体" w:cs="Times New Roman"/>
                <w:color w:val="auto"/>
                <w:kern w:val="18"/>
                <w:sz w:val="21"/>
                <w:szCs w:val="21"/>
                <w:vertAlign w:val="superscript"/>
                <w:lang w:val="en-US" w:eastAsia="zh-CN" w:bidi="ar-SA"/>
              </w:rPr>
              <w:t>2</w:t>
            </w:r>
            <w:r>
              <w:rPr>
                <w:rFonts w:hint="eastAsia" w:ascii="Times New Roman" w:hAnsi="Times New Roman" w:eastAsia="宋体" w:cs="Times New Roman"/>
                <w:color w:val="auto"/>
                <w:kern w:val="18"/>
                <w:sz w:val="21"/>
                <w:szCs w:val="21"/>
                <w:lang w:val="en-US" w:eastAsia="zh-CN" w:bidi="ar-SA"/>
              </w:rPr>
              <w:t>，接地连接线截面积10mm</w:t>
            </w:r>
            <w:r>
              <w:rPr>
                <w:rFonts w:hint="eastAsia" w:ascii="Times New Roman" w:hAnsi="Times New Roman" w:eastAsia="宋体" w:cs="Times New Roman"/>
                <w:color w:val="auto"/>
                <w:kern w:val="18"/>
                <w:sz w:val="21"/>
                <w:szCs w:val="21"/>
                <w:vertAlign w:val="superscript"/>
                <w:lang w:val="en-US" w:eastAsia="zh-CN" w:bidi="ar-SA"/>
              </w:rPr>
              <w:t>2</w:t>
            </w:r>
            <w:r>
              <w:rPr>
                <w:rFonts w:hint="eastAsia" w:ascii="Times New Roman" w:hAnsi="Times New Roman" w:eastAsia="宋体" w:cs="Times New Roman"/>
                <w:color w:val="auto"/>
                <w:kern w:val="18"/>
                <w:sz w:val="21"/>
                <w:szCs w:val="21"/>
                <w:lang w:val="en-US" w:eastAsia="zh-CN" w:bidi="ar-SA"/>
              </w:rPr>
              <w:t>，电源SPD连接导线长度0.5m。</w:t>
            </w:r>
          </w:p>
          <w:p w14:paraId="444E5E9B">
            <w:pPr>
              <w:pStyle w:val="43"/>
              <w:keepNext w:val="0"/>
              <w:keepLines w:val="0"/>
              <w:pageBreakBefore w:val="0"/>
              <w:widowControl w:val="0"/>
              <w:kinsoku/>
              <w:wordWrap/>
              <w:overflowPunct/>
              <w:topLinePunct w:val="0"/>
              <w:autoSpaceDE/>
              <w:autoSpaceDN/>
              <w:bidi w:val="0"/>
              <w:spacing w:line="320" w:lineRule="exact"/>
              <w:jc w:val="both"/>
              <w:textAlignment w:val="auto"/>
              <w:rPr>
                <w:rFonts w:hint="eastAsia"/>
                <w:color w:val="auto"/>
              </w:rPr>
            </w:pPr>
            <w:r>
              <w:rPr>
                <w:rFonts w:hint="eastAsia" w:ascii="Times New Roman" w:hAnsi="Times New Roman" w:eastAsia="宋体" w:cs="Times New Roman"/>
                <w:color w:val="auto"/>
                <w:kern w:val="18"/>
                <w:sz w:val="21"/>
                <w:szCs w:val="21"/>
                <w:lang w:val="en-US" w:eastAsia="zh-CN" w:bidi="ar-SA"/>
              </w:rPr>
              <w:t>加油装置内所有设备接地、防静电由成套厂商负责。自用撬装加油装置采用双层钢制油罐，且油罐本体的外壁壁厚不小于4mm。低压配电系统接地型式为TN-S型，PE线与中性线完全分开。防雷防静电装置每半年检测1次，并建立档案。在距卸油口距离大于1.5m、距地0.3m处安装静电接地报警仪。</w:t>
            </w:r>
          </w:p>
        </w:tc>
        <w:tc>
          <w:tcPr>
            <w:tcW w:w="1223" w:type="dxa"/>
            <w:noWrap w:val="0"/>
            <w:vAlign w:val="center"/>
          </w:tcPr>
          <w:p w14:paraId="246E3E9F">
            <w:pPr>
              <w:pStyle w:val="43"/>
              <w:keepNext w:val="0"/>
              <w:keepLines w:val="0"/>
              <w:pageBreakBefore w:val="0"/>
              <w:widowControl w:val="0"/>
              <w:kinsoku/>
              <w:wordWrap/>
              <w:overflowPunct/>
              <w:topLinePunct w:val="0"/>
              <w:autoSpaceDE/>
              <w:autoSpaceDN/>
              <w:bidi w:val="0"/>
              <w:spacing w:line="320" w:lineRule="exact"/>
              <w:jc w:val="center"/>
              <w:textAlignment w:val="auto"/>
              <w:rPr>
                <w:rFonts w:hint="default" w:eastAsia="宋体"/>
                <w:b/>
                <w:bCs/>
                <w:color w:val="0000FF"/>
                <w:lang w:val="en-US" w:eastAsia="zh-CN"/>
              </w:rPr>
            </w:pPr>
            <w:r>
              <w:rPr>
                <w:rFonts w:hint="default" w:eastAsia="宋体"/>
                <w:b w:val="0"/>
                <w:bCs w:val="0"/>
                <w:color w:val="auto"/>
                <w:lang w:val="en-US" w:eastAsia="zh-CN"/>
              </w:rPr>
              <w:t>撬装加油防雷装置经辽宁风云科技服务有限公司检测，并出具了雷电防护装置检测报告，报告编号为：1062018002雷检字[2025]06764，检验结论为合格，有效期至2026年11月20日。</w:t>
            </w:r>
          </w:p>
        </w:tc>
        <w:tc>
          <w:tcPr>
            <w:tcW w:w="795" w:type="dxa"/>
            <w:noWrap w:val="0"/>
            <w:vAlign w:val="center"/>
          </w:tcPr>
          <w:p w14:paraId="5537C1B7">
            <w:pPr>
              <w:pStyle w:val="43"/>
              <w:keepNext w:val="0"/>
              <w:keepLines w:val="0"/>
              <w:pageBreakBefore w:val="0"/>
              <w:widowControl w:val="0"/>
              <w:kinsoku/>
              <w:wordWrap/>
              <w:overflowPunct/>
              <w:topLinePunct w:val="0"/>
              <w:autoSpaceDE/>
              <w:autoSpaceDN/>
              <w:bidi w:val="0"/>
              <w:spacing w:before="0" w:after="0" w:line="320" w:lineRule="exact"/>
              <w:ind w:firstLine="0" w:firstLineChars="0"/>
              <w:jc w:val="center"/>
              <w:textAlignment w:val="auto"/>
              <w:rPr>
                <w:rFonts w:hint="eastAsia" w:eastAsia="宋体"/>
                <w:b/>
                <w:bCs/>
                <w:color w:val="0000FF"/>
                <w:lang w:val="en-US" w:eastAsia="zh-CN"/>
              </w:rPr>
            </w:pPr>
            <w:r>
              <w:rPr>
                <w:rFonts w:hint="eastAsia"/>
                <w:color w:val="auto"/>
                <w:sz w:val="21"/>
                <w:szCs w:val="21"/>
                <w:lang w:val="en-US" w:eastAsia="zh-CN"/>
              </w:rPr>
              <w:t>采纳落实</w:t>
            </w:r>
          </w:p>
        </w:tc>
      </w:tr>
      <w:tr w14:paraId="2D79F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286" w:type="dxa"/>
            <w:gridSpan w:val="3"/>
            <w:noWrap w:val="0"/>
            <w:vAlign w:val="top"/>
          </w:tcPr>
          <w:p w14:paraId="65ACC1B1">
            <w:pPr>
              <w:pStyle w:val="43"/>
              <w:keepNext w:val="0"/>
              <w:keepLines w:val="0"/>
              <w:pageBreakBefore w:val="0"/>
              <w:widowControl w:val="0"/>
              <w:kinsoku/>
              <w:wordWrap/>
              <w:overflowPunct/>
              <w:topLinePunct w:val="0"/>
              <w:autoSpaceDE/>
              <w:autoSpaceDN/>
              <w:bidi w:val="0"/>
              <w:spacing w:before="0" w:after="0" w:line="320" w:lineRule="exact"/>
              <w:ind w:firstLine="0" w:firstLineChars="0"/>
              <w:textAlignment w:val="auto"/>
              <w:rPr>
                <w:color w:val="auto"/>
              </w:rPr>
            </w:pPr>
            <w:r>
              <w:rPr>
                <w:b/>
                <w:bCs/>
                <w:color w:val="auto"/>
              </w:rPr>
              <w:t>4.5 自控仪表及火灾报警</w:t>
            </w:r>
          </w:p>
        </w:tc>
      </w:tr>
      <w:tr w14:paraId="4B445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286" w:type="dxa"/>
            <w:gridSpan w:val="3"/>
            <w:noWrap w:val="0"/>
            <w:vAlign w:val="top"/>
          </w:tcPr>
          <w:p w14:paraId="7917E887">
            <w:pPr>
              <w:pStyle w:val="43"/>
              <w:keepNext w:val="0"/>
              <w:keepLines w:val="0"/>
              <w:pageBreakBefore w:val="0"/>
              <w:widowControl w:val="0"/>
              <w:kinsoku/>
              <w:wordWrap/>
              <w:overflowPunct/>
              <w:topLinePunct w:val="0"/>
              <w:autoSpaceDE/>
              <w:autoSpaceDN/>
              <w:bidi w:val="0"/>
              <w:spacing w:before="0" w:after="0" w:line="320" w:lineRule="exact"/>
              <w:ind w:firstLine="0" w:firstLineChars="0"/>
              <w:textAlignment w:val="auto"/>
              <w:rPr>
                <w:rFonts w:hint="eastAsia"/>
                <w:b/>
                <w:bCs/>
                <w:color w:val="auto"/>
                <w:lang w:val="zh-CN"/>
              </w:rPr>
            </w:pPr>
            <w:r>
              <w:rPr>
                <w:rFonts w:hint="eastAsia"/>
                <w:b/>
                <w:bCs/>
                <w:color w:val="auto"/>
                <w:lang w:val="zh-CN"/>
              </w:rPr>
              <w:t>4.5.1</w:t>
            </w:r>
            <w:r>
              <w:rPr>
                <w:rFonts w:hint="eastAsia"/>
                <w:b/>
                <w:bCs/>
                <w:color w:val="auto"/>
                <w:lang w:val="en-US" w:eastAsia="zh-CN"/>
              </w:rPr>
              <w:t xml:space="preserve"> </w:t>
            </w:r>
            <w:r>
              <w:rPr>
                <w:rFonts w:hint="eastAsia"/>
                <w:b/>
                <w:bCs/>
                <w:color w:val="auto"/>
                <w:lang w:val="zh-CN"/>
              </w:rPr>
              <w:t>应急或备用电源设置</w:t>
            </w:r>
          </w:p>
        </w:tc>
      </w:tr>
      <w:tr w14:paraId="0C8B0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8" w:type="dxa"/>
            <w:noWrap w:val="0"/>
            <w:vAlign w:val="center"/>
          </w:tcPr>
          <w:p w14:paraId="3EA928E7">
            <w:pPr>
              <w:keepNext w:val="0"/>
              <w:keepLines w:val="0"/>
              <w:pageBreakBefore w:val="0"/>
              <w:widowControl w:val="0"/>
              <w:kinsoku/>
              <w:wordWrap/>
              <w:overflowPunct/>
              <w:topLinePunct w:val="0"/>
              <w:autoSpaceDE/>
              <w:autoSpaceDN/>
              <w:bidi w:val="0"/>
              <w:adjustRightInd w:val="0"/>
              <w:snapToGrid w:val="0"/>
              <w:spacing w:line="320" w:lineRule="exact"/>
              <w:ind w:left="0" w:leftChars="0" w:firstLine="0" w:firstLineChars="0"/>
              <w:jc w:val="both"/>
              <w:textAlignment w:val="auto"/>
              <w:rPr>
                <w:rFonts w:hint="eastAsia"/>
                <w:color w:val="auto"/>
              </w:rPr>
            </w:pPr>
            <w:r>
              <w:rPr>
                <w:rFonts w:hint="eastAsia" w:ascii="Times New Roman" w:hAnsi="Times New Roman" w:eastAsia="宋体" w:cs="Times New Roman"/>
                <w:color w:val="auto"/>
                <w:kern w:val="18"/>
                <w:sz w:val="21"/>
                <w:szCs w:val="21"/>
                <w:lang w:val="en-US" w:eastAsia="zh-CN" w:bidi="ar-SA"/>
              </w:rPr>
              <w:t>设置UPS备用电源，其容量为3kVA，应急时间不小于60min。</w:t>
            </w:r>
          </w:p>
        </w:tc>
        <w:tc>
          <w:tcPr>
            <w:tcW w:w="1223" w:type="dxa"/>
            <w:noWrap w:val="0"/>
            <w:vAlign w:val="center"/>
          </w:tcPr>
          <w:p w14:paraId="64EA96A1">
            <w:pPr>
              <w:pStyle w:val="43"/>
              <w:keepNext w:val="0"/>
              <w:keepLines w:val="0"/>
              <w:pageBreakBefore w:val="0"/>
              <w:widowControl w:val="0"/>
              <w:kinsoku/>
              <w:wordWrap/>
              <w:overflowPunct/>
              <w:topLinePunct w:val="0"/>
              <w:autoSpaceDE/>
              <w:autoSpaceDN/>
              <w:bidi w:val="0"/>
              <w:spacing w:line="320" w:lineRule="exact"/>
              <w:jc w:val="center"/>
              <w:textAlignment w:val="auto"/>
              <w:rPr>
                <w:rFonts w:hint="default" w:eastAsia="宋体"/>
                <w:color w:val="auto"/>
                <w:lang w:val="en-US" w:eastAsia="zh-CN"/>
              </w:rPr>
            </w:pPr>
            <w:r>
              <w:rPr>
                <w:rFonts w:hint="eastAsia"/>
                <w:b w:val="0"/>
                <w:bCs w:val="0"/>
                <w:color w:val="auto"/>
                <w:lang w:val="en-US" w:eastAsia="zh-CN"/>
              </w:rPr>
              <w:t>矿区有备用应急柴油发电机，可作为</w:t>
            </w:r>
            <w:r>
              <w:rPr>
                <w:rFonts w:hint="default"/>
                <w:b w:val="0"/>
                <w:bCs w:val="0"/>
                <w:color w:val="auto"/>
                <w:lang w:val="en-US" w:eastAsia="zh-CN"/>
              </w:rPr>
              <w:t>视频监控系统</w:t>
            </w:r>
            <w:r>
              <w:rPr>
                <w:rFonts w:hint="eastAsia"/>
                <w:b w:val="0"/>
                <w:bCs w:val="0"/>
                <w:color w:val="auto"/>
                <w:lang w:val="en-US" w:eastAsia="zh-CN"/>
              </w:rPr>
              <w:t>的备用电源。</w:t>
            </w:r>
          </w:p>
        </w:tc>
        <w:tc>
          <w:tcPr>
            <w:tcW w:w="795" w:type="dxa"/>
            <w:noWrap w:val="0"/>
            <w:vAlign w:val="center"/>
          </w:tcPr>
          <w:p w14:paraId="2E4D42D5">
            <w:pPr>
              <w:pStyle w:val="43"/>
              <w:keepNext w:val="0"/>
              <w:keepLines w:val="0"/>
              <w:pageBreakBefore w:val="0"/>
              <w:widowControl w:val="0"/>
              <w:kinsoku/>
              <w:wordWrap/>
              <w:overflowPunct/>
              <w:topLinePunct w:val="0"/>
              <w:autoSpaceDE/>
              <w:autoSpaceDN/>
              <w:bidi w:val="0"/>
              <w:spacing w:before="0" w:after="0" w:line="320" w:lineRule="exact"/>
              <w:ind w:firstLine="0" w:firstLineChars="0"/>
              <w:jc w:val="center"/>
              <w:textAlignment w:val="auto"/>
              <w:rPr>
                <w:color w:val="auto"/>
              </w:rPr>
            </w:pPr>
            <w:r>
              <w:rPr>
                <w:rFonts w:hint="eastAsia"/>
                <w:color w:val="auto"/>
                <w:sz w:val="21"/>
                <w:szCs w:val="21"/>
                <w:lang w:val="en-US" w:eastAsia="zh-CN"/>
              </w:rPr>
              <w:t>采纳落实</w:t>
            </w:r>
          </w:p>
        </w:tc>
      </w:tr>
      <w:tr w14:paraId="2C79A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9286" w:type="dxa"/>
            <w:gridSpan w:val="3"/>
            <w:noWrap w:val="0"/>
            <w:vAlign w:val="top"/>
          </w:tcPr>
          <w:p w14:paraId="77797657">
            <w:pPr>
              <w:pStyle w:val="43"/>
              <w:keepNext w:val="0"/>
              <w:keepLines w:val="0"/>
              <w:pageBreakBefore w:val="0"/>
              <w:widowControl w:val="0"/>
              <w:kinsoku/>
              <w:wordWrap/>
              <w:overflowPunct/>
              <w:topLinePunct w:val="0"/>
              <w:autoSpaceDE/>
              <w:autoSpaceDN/>
              <w:bidi w:val="0"/>
              <w:spacing w:before="0" w:after="0" w:line="320" w:lineRule="exact"/>
              <w:ind w:firstLine="0" w:firstLineChars="0"/>
              <w:textAlignment w:val="auto"/>
              <w:rPr>
                <w:color w:val="auto"/>
              </w:rPr>
            </w:pPr>
            <w:r>
              <w:rPr>
                <w:b/>
                <w:bCs/>
                <w:color w:val="auto"/>
              </w:rPr>
              <w:t>4.5.2</w:t>
            </w:r>
            <w:r>
              <w:rPr>
                <w:rFonts w:hint="eastAsia"/>
                <w:b/>
                <w:bCs/>
                <w:color w:val="auto"/>
                <w:lang w:val="en-US" w:eastAsia="zh-CN"/>
              </w:rPr>
              <w:t xml:space="preserve"> </w:t>
            </w:r>
            <w:r>
              <w:rPr>
                <w:b/>
                <w:bCs/>
                <w:color w:val="auto"/>
              </w:rPr>
              <w:t>自动控制系统的设置和安全功能。</w:t>
            </w:r>
          </w:p>
        </w:tc>
      </w:tr>
      <w:tr w14:paraId="3FAB4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268" w:type="dxa"/>
            <w:noWrap w:val="0"/>
            <w:vAlign w:val="top"/>
          </w:tcPr>
          <w:p w14:paraId="4F446A8E">
            <w:pPr>
              <w:keepNext w:val="0"/>
              <w:keepLines w:val="0"/>
              <w:pageBreakBefore w:val="0"/>
              <w:widowControl w:val="0"/>
              <w:kinsoku/>
              <w:wordWrap/>
              <w:overflowPunct/>
              <w:topLinePunct w:val="0"/>
              <w:autoSpaceDE/>
              <w:autoSpaceDN/>
              <w:bidi w:val="0"/>
              <w:adjustRightInd w:val="0"/>
              <w:snapToGrid w:val="0"/>
              <w:spacing w:line="320" w:lineRule="exact"/>
              <w:ind w:left="0" w:leftChars="0" w:firstLine="0" w:firstLineChars="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在油罐上设置了带高位报警的液位仪，防爆装置采用阻隔防爆装置。自用撬装加油装置的油罐设置高液位报警器、液位仪、自动灭火装置、紧急泄压装置、内部燃烧抑制装置、渗漏检测传感器、防爆阻火通气罩、阻火呼吸阀等安全监控防护措施。油罐出油管道设置高温自动断油保护阀。油罐采取卸油时的防满溢措施。当油料达到油罐容量90%时，能触动高液位报警装置；油料达到油罐容量95%时，能自动切断油料进罐。采用现场控制器。</w:t>
            </w:r>
          </w:p>
          <w:p w14:paraId="33D10ED5">
            <w:pPr>
              <w:keepNext w:val="0"/>
              <w:keepLines w:val="0"/>
              <w:pageBreakBefore w:val="0"/>
              <w:widowControl w:val="0"/>
              <w:kinsoku/>
              <w:wordWrap/>
              <w:overflowPunct/>
              <w:topLinePunct w:val="0"/>
              <w:autoSpaceDE/>
              <w:autoSpaceDN/>
              <w:bidi w:val="0"/>
              <w:adjustRightInd w:val="0"/>
              <w:snapToGrid w:val="0"/>
              <w:spacing w:line="320" w:lineRule="exact"/>
              <w:ind w:left="0" w:leftChars="0" w:firstLine="0" w:firstLineChars="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设置了事故紧急切断系统，由手动二通球阀、电磁阀、高温熔断阀串接组成，设在撬装出油管路。高温熔断阀作用：加油单元发生火灾的紧急情况下油路自行断开。橇装电磁阀：与加油枪同步工作，枪起阀开，枪落阀关，实现加油的可靠工作，避免意外油品泄漏事故发生。电磁阀为封装防爆，直径50mm，法兰或丝扣连接。手动阀：用于加油管路的出油作业手动控制，靠近罐出口处安装，以方便加油机的保养和维修的工作。</w:t>
            </w:r>
          </w:p>
          <w:p w14:paraId="5FF8529F">
            <w:pPr>
              <w:keepNext w:val="0"/>
              <w:keepLines w:val="0"/>
              <w:pageBreakBefore w:val="0"/>
              <w:widowControl w:val="0"/>
              <w:kinsoku/>
              <w:wordWrap/>
              <w:overflowPunct/>
              <w:topLinePunct w:val="0"/>
              <w:autoSpaceDE/>
              <w:autoSpaceDN/>
              <w:bidi w:val="0"/>
              <w:adjustRightInd w:val="0"/>
              <w:snapToGrid w:val="0"/>
              <w:spacing w:line="320" w:lineRule="exact"/>
              <w:ind w:left="0" w:leftChars="0" w:firstLine="0" w:firstLineChars="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事故紧急切断系统设置事故紧急切断按钮，一处设置于加油机上明装，另一处设置自用撬装加油装置控制箱挂墙明装，事故紧急切断系统带失效保护功能，只能手动复位。</w:t>
            </w:r>
          </w:p>
          <w:p w14:paraId="7A9E8B38">
            <w:pPr>
              <w:keepNext w:val="0"/>
              <w:keepLines w:val="0"/>
              <w:pageBreakBefore w:val="0"/>
              <w:widowControl w:val="0"/>
              <w:kinsoku/>
              <w:wordWrap/>
              <w:overflowPunct/>
              <w:topLinePunct w:val="0"/>
              <w:autoSpaceDE/>
              <w:autoSpaceDN/>
              <w:bidi w:val="0"/>
              <w:adjustRightInd w:val="0"/>
              <w:snapToGrid w:val="0"/>
              <w:spacing w:line="320" w:lineRule="exact"/>
              <w:ind w:left="0" w:leftChars="0" w:firstLine="0" w:firstLineChars="0"/>
              <w:textAlignment w:val="auto"/>
              <w:rPr>
                <w:rFonts w:hint="eastAsia"/>
                <w:color w:val="auto"/>
              </w:rPr>
            </w:pPr>
            <w:r>
              <w:rPr>
                <w:rFonts w:hint="eastAsia" w:ascii="Times New Roman" w:hAnsi="Times New Roman" w:eastAsia="宋体" w:cs="Times New Roman"/>
                <w:color w:val="auto"/>
                <w:kern w:val="18"/>
                <w:sz w:val="21"/>
                <w:szCs w:val="21"/>
                <w:lang w:val="en-US" w:eastAsia="zh-CN" w:bidi="ar-SA"/>
              </w:rPr>
              <w:t>加油枪管线上设置紧急切断阀，当加油枪管道受外力作用时，紧急切断阀自动断开。</w:t>
            </w:r>
          </w:p>
        </w:tc>
        <w:tc>
          <w:tcPr>
            <w:tcW w:w="1223" w:type="dxa"/>
            <w:noWrap w:val="0"/>
            <w:vAlign w:val="center"/>
          </w:tcPr>
          <w:p w14:paraId="5049CE24">
            <w:pPr>
              <w:pStyle w:val="43"/>
              <w:keepNext w:val="0"/>
              <w:keepLines w:val="0"/>
              <w:pageBreakBefore w:val="0"/>
              <w:widowControl w:val="0"/>
              <w:kinsoku/>
              <w:wordWrap/>
              <w:overflowPunct/>
              <w:topLinePunct w:val="0"/>
              <w:autoSpaceDE/>
              <w:autoSpaceDN/>
              <w:bidi w:val="0"/>
              <w:spacing w:line="320" w:lineRule="exact"/>
              <w:jc w:val="center"/>
              <w:textAlignment w:val="auto"/>
              <w:rPr>
                <w:rFonts w:hint="default" w:eastAsia="宋体"/>
                <w:color w:val="auto"/>
                <w:lang w:val="en-US" w:eastAsia="zh-CN"/>
              </w:rPr>
            </w:pPr>
            <w:r>
              <w:rPr>
                <w:rFonts w:hint="eastAsia"/>
                <w:color w:val="auto"/>
              </w:rPr>
              <w:t>液位仪带有高液位报警功能</w:t>
            </w:r>
            <w:r>
              <w:rPr>
                <w:rFonts w:hint="eastAsia"/>
                <w:color w:val="auto"/>
                <w:lang w:eastAsia="zh-CN"/>
              </w:rPr>
              <w:t>；</w:t>
            </w:r>
            <w:r>
              <w:rPr>
                <w:rFonts w:hint="eastAsia"/>
                <w:color w:val="auto"/>
                <w:lang w:val="en-US" w:eastAsia="zh-CN"/>
              </w:rPr>
              <w:t>设置有测漏仪</w:t>
            </w:r>
          </w:p>
        </w:tc>
        <w:tc>
          <w:tcPr>
            <w:tcW w:w="795" w:type="dxa"/>
            <w:noWrap w:val="0"/>
            <w:vAlign w:val="center"/>
          </w:tcPr>
          <w:p w14:paraId="1EA8E9E8">
            <w:pPr>
              <w:pStyle w:val="43"/>
              <w:keepNext w:val="0"/>
              <w:keepLines w:val="0"/>
              <w:pageBreakBefore w:val="0"/>
              <w:widowControl w:val="0"/>
              <w:kinsoku/>
              <w:wordWrap/>
              <w:overflowPunct/>
              <w:topLinePunct w:val="0"/>
              <w:autoSpaceDE/>
              <w:autoSpaceDN/>
              <w:bidi w:val="0"/>
              <w:spacing w:before="0" w:after="0" w:line="320" w:lineRule="exact"/>
              <w:ind w:firstLine="0" w:firstLineChars="0"/>
              <w:jc w:val="center"/>
              <w:textAlignment w:val="auto"/>
              <w:rPr>
                <w:color w:val="auto"/>
              </w:rPr>
            </w:pPr>
            <w:r>
              <w:rPr>
                <w:rFonts w:hint="eastAsia"/>
                <w:color w:val="auto"/>
                <w:sz w:val="21"/>
                <w:szCs w:val="21"/>
                <w:lang w:val="en-US" w:eastAsia="zh-CN"/>
              </w:rPr>
              <w:t>采纳落实</w:t>
            </w:r>
          </w:p>
        </w:tc>
      </w:tr>
      <w:tr w14:paraId="27664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286" w:type="dxa"/>
            <w:gridSpan w:val="3"/>
            <w:noWrap w:val="0"/>
            <w:vAlign w:val="top"/>
          </w:tcPr>
          <w:p w14:paraId="4ED79BB2">
            <w:pPr>
              <w:pStyle w:val="43"/>
              <w:keepNext w:val="0"/>
              <w:keepLines w:val="0"/>
              <w:pageBreakBefore w:val="0"/>
              <w:widowControl w:val="0"/>
              <w:kinsoku/>
              <w:wordWrap/>
              <w:overflowPunct/>
              <w:topLinePunct w:val="0"/>
              <w:autoSpaceDE/>
              <w:autoSpaceDN/>
              <w:bidi w:val="0"/>
              <w:spacing w:before="0" w:after="0" w:line="320" w:lineRule="exact"/>
              <w:ind w:firstLine="0" w:firstLineChars="0"/>
              <w:textAlignment w:val="auto"/>
              <w:rPr>
                <w:color w:val="auto"/>
              </w:rPr>
            </w:pPr>
            <w:r>
              <w:rPr>
                <w:b/>
                <w:bCs/>
                <w:color w:val="auto"/>
              </w:rPr>
              <w:t>4.5.3</w:t>
            </w:r>
            <w:r>
              <w:rPr>
                <w:rFonts w:hint="eastAsia"/>
                <w:b/>
                <w:bCs/>
                <w:color w:val="auto"/>
                <w:lang w:val="en-US" w:eastAsia="zh-CN"/>
              </w:rPr>
              <w:t xml:space="preserve"> </w:t>
            </w:r>
            <w:r>
              <w:rPr>
                <w:rFonts w:hint="eastAsia"/>
                <w:b/>
                <w:bCs/>
                <w:color w:val="auto"/>
              </w:rPr>
              <w:t>视频监控系统</w:t>
            </w:r>
          </w:p>
        </w:tc>
      </w:tr>
      <w:tr w14:paraId="34497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8" w:type="dxa"/>
            <w:noWrap w:val="0"/>
            <w:vAlign w:val="top"/>
          </w:tcPr>
          <w:p w14:paraId="043E0983">
            <w:pPr>
              <w:keepNext w:val="0"/>
              <w:keepLines w:val="0"/>
              <w:pageBreakBefore w:val="0"/>
              <w:widowControl w:val="0"/>
              <w:kinsoku/>
              <w:wordWrap/>
              <w:overflowPunct/>
              <w:topLinePunct w:val="0"/>
              <w:autoSpaceDE/>
              <w:autoSpaceDN/>
              <w:bidi w:val="0"/>
              <w:adjustRightInd w:val="0"/>
              <w:snapToGrid w:val="0"/>
              <w:spacing w:line="320" w:lineRule="exact"/>
              <w:ind w:left="0" w:leftChars="0" w:firstLine="0" w:firstLineChars="0"/>
              <w:textAlignment w:val="auto"/>
              <w:rPr>
                <w:rFonts w:hint="eastAsia"/>
                <w:color w:val="auto"/>
              </w:rPr>
            </w:pPr>
            <w:r>
              <w:rPr>
                <w:rFonts w:hint="eastAsia" w:ascii="Times New Roman" w:hAnsi="Times New Roman" w:eastAsia="宋体" w:cs="Times New Roman"/>
                <w:color w:val="auto"/>
                <w:kern w:val="18"/>
                <w:sz w:val="21"/>
                <w:szCs w:val="21"/>
                <w:lang w:val="en-US" w:eastAsia="zh-CN" w:bidi="ar-SA"/>
              </w:rPr>
              <w:t>在自用撬装加油装置处设置了3台高清红外摄像仪，对自用撬装加油装置进行监控，现场摄像仪视频信号引至厂区办公楼消防控制室内监控主机。系统中硬盘录像机储存时间大于30天。</w:t>
            </w:r>
          </w:p>
        </w:tc>
        <w:tc>
          <w:tcPr>
            <w:tcW w:w="1223" w:type="dxa"/>
            <w:noWrap w:val="0"/>
            <w:vAlign w:val="center"/>
          </w:tcPr>
          <w:p w14:paraId="5F8CBE8C">
            <w:pPr>
              <w:pStyle w:val="43"/>
              <w:keepNext w:val="0"/>
              <w:keepLines w:val="0"/>
              <w:pageBreakBefore w:val="0"/>
              <w:widowControl w:val="0"/>
              <w:kinsoku/>
              <w:wordWrap/>
              <w:overflowPunct/>
              <w:topLinePunct w:val="0"/>
              <w:autoSpaceDE/>
              <w:autoSpaceDN/>
              <w:bidi w:val="0"/>
              <w:spacing w:line="320" w:lineRule="exact"/>
              <w:jc w:val="center"/>
              <w:textAlignment w:val="auto"/>
              <w:rPr>
                <w:rFonts w:hint="default" w:eastAsia="宋体"/>
                <w:color w:val="auto"/>
                <w:lang w:val="en-US" w:eastAsia="zh-CN"/>
              </w:rPr>
            </w:pPr>
            <w:r>
              <w:rPr>
                <w:rFonts w:hint="eastAsia" w:ascii="Times New Roman" w:hAnsi="Times New Roman" w:eastAsia="宋体" w:cs="Times New Roman"/>
                <w:color w:val="auto"/>
                <w:kern w:val="18"/>
                <w:sz w:val="21"/>
                <w:szCs w:val="21"/>
                <w:lang w:val="en-US" w:eastAsia="zh-CN" w:bidi="ar-SA"/>
              </w:rPr>
              <w:t>消防控制室内</w:t>
            </w:r>
            <w:r>
              <w:rPr>
                <w:rFonts w:hint="eastAsia" w:eastAsia="宋体"/>
                <w:color w:val="auto"/>
                <w:lang w:val="en-US" w:eastAsia="zh-CN"/>
              </w:rPr>
              <w:t>设置有监控摄像系统</w:t>
            </w:r>
          </w:p>
        </w:tc>
        <w:tc>
          <w:tcPr>
            <w:tcW w:w="795" w:type="dxa"/>
            <w:noWrap w:val="0"/>
            <w:vAlign w:val="center"/>
          </w:tcPr>
          <w:p w14:paraId="70EC1B58">
            <w:pPr>
              <w:pStyle w:val="43"/>
              <w:keepNext w:val="0"/>
              <w:keepLines w:val="0"/>
              <w:pageBreakBefore w:val="0"/>
              <w:widowControl w:val="0"/>
              <w:kinsoku/>
              <w:wordWrap/>
              <w:overflowPunct/>
              <w:topLinePunct w:val="0"/>
              <w:autoSpaceDE/>
              <w:autoSpaceDN/>
              <w:bidi w:val="0"/>
              <w:spacing w:before="0" w:after="0" w:line="320" w:lineRule="exact"/>
              <w:ind w:firstLine="0" w:firstLineChars="0"/>
              <w:jc w:val="center"/>
              <w:textAlignment w:val="auto"/>
              <w:rPr>
                <w:rFonts w:hint="default" w:eastAsia="宋体"/>
                <w:color w:val="auto"/>
                <w:lang w:val="en-US" w:eastAsia="zh-CN"/>
              </w:rPr>
            </w:pPr>
            <w:r>
              <w:rPr>
                <w:rFonts w:hint="eastAsia"/>
                <w:color w:val="auto"/>
                <w:sz w:val="21"/>
                <w:szCs w:val="21"/>
                <w:lang w:val="en-US" w:eastAsia="zh-CN"/>
              </w:rPr>
              <w:t>采纳落实</w:t>
            </w:r>
          </w:p>
        </w:tc>
      </w:tr>
      <w:tr w14:paraId="6888E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286" w:type="dxa"/>
            <w:gridSpan w:val="3"/>
            <w:noWrap w:val="0"/>
            <w:vAlign w:val="top"/>
          </w:tcPr>
          <w:p w14:paraId="0FFC6963">
            <w:pPr>
              <w:pStyle w:val="43"/>
              <w:keepNext w:val="0"/>
              <w:keepLines w:val="0"/>
              <w:pageBreakBefore w:val="0"/>
              <w:widowControl w:val="0"/>
              <w:kinsoku/>
              <w:wordWrap/>
              <w:overflowPunct/>
              <w:topLinePunct w:val="0"/>
              <w:autoSpaceDE/>
              <w:autoSpaceDN/>
              <w:bidi w:val="0"/>
              <w:spacing w:before="0" w:after="0" w:line="320" w:lineRule="exact"/>
              <w:ind w:firstLine="0" w:firstLineChars="0"/>
              <w:textAlignment w:val="auto"/>
              <w:rPr>
                <w:color w:val="auto"/>
              </w:rPr>
            </w:pPr>
            <w:bookmarkStart w:id="64" w:name="_Toc8265"/>
            <w:bookmarkStart w:id="65" w:name="_Toc11932"/>
            <w:r>
              <w:rPr>
                <w:b/>
                <w:bCs/>
                <w:color w:val="auto"/>
              </w:rPr>
              <w:t>4.7</w:t>
            </w:r>
            <w:r>
              <w:rPr>
                <w:rFonts w:hint="eastAsia"/>
                <w:b/>
                <w:bCs/>
                <w:color w:val="auto"/>
                <w:lang w:val="en-US" w:eastAsia="zh-CN"/>
              </w:rPr>
              <w:t xml:space="preserve"> </w:t>
            </w:r>
            <w:r>
              <w:rPr>
                <w:b/>
                <w:bCs/>
                <w:color w:val="auto"/>
              </w:rPr>
              <w:t>其他防范设施</w:t>
            </w:r>
            <w:bookmarkEnd w:id="64"/>
            <w:bookmarkEnd w:id="65"/>
          </w:p>
        </w:tc>
      </w:tr>
      <w:tr w14:paraId="517C7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8" w:type="dxa"/>
            <w:noWrap w:val="0"/>
            <w:vAlign w:val="top"/>
          </w:tcPr>
          <w:p w14:paraId="41E032A2">
            <w:pPr>
              <w:pStyle w:val="43"/>
              <w:keepNext w:val="0"/>
              <w:keepLines w:val="0"/>
              <w:pageBreakBefore w:val="0"/>
              <w:widowControl w:val="0"/>
              <w:kinsoku/>
              <w:wordWrap/>
              <w:overflowPunct/>
              <w:topLinePunct w:val="0"/>
              <w:autoSpaceDE/>
              <w:autoSpaceDN/>
              <w:bidi w:val="0"/>
              <w:spacing w:line="320" w:lineRule="exact"/>
              <w:jc w:val="both"/>
              <w:textAlignment w:val="auto"/>
              <w:rPr>
                <w:rFonts w:hint="eastAsia"/>
                <w:color w:val="auto"/>
              </w:rPr>
            </w:pPr>
            <w:r>
              <w:rPr>
                <w:rFonts w:hint="eastAsia"/>
                <w:color w:val="auto"/>
              </w:rPr>
              <w:t>1</w:t>
            </w:r>
            <w:r>
              <w:rPr>
                <w:rFonts w:hint="eastAsia"/>
                <w:color w:val="auto"/>
                <w:lang w:eastAsia="zh-CN"/>
              </w:rPr>
              <w:t>、</w:t>
            </w:r>
            <w:r>
              <w:rPr>
                <w:rFonts w:hint="eastAsia"/>
                <w:color w:val="auto"/>
              </w:rPr>
              <w:t>防汛</w:t>
            </w:r>
          </w:p>
          <w:p w14:paraId="431C24D5">
            <w:pPr>
              <w:keepNext w:val="0"/>
              <w:keepLines w:val="0"/>
              <w:pageBreakBefore w:val="0"/>
              <w:widowControl w:val="0"/>
              <w:kinsoku/>
              <w:wordWrap/>
              <w:overflowPunct/>
              <w:topLinePunct w:val="0"/>
              <w:autoSpaceDE/>
              <w:autoSpaceDN/>
              <w:bidi w:val="0"/>
              <w:adjustRightInd w:val="0"/>
              <w:snapToGrid w:val="0"/>
              <w:spacing w:line="320" w:lineRule="exact"/>
              <w:ind w:left="0" w:leftChars="0" w:firstLine="0" w:firstLineChars="0"/>
              <w:textAlignment w:val="auto"/>
              <w:rPr>
                <w:rFonts w:hint="eastAsia"/>
                <w:color w:val="auto"/>
              </w:rPr>
            </w:pPr>
            <w:r>
              <w:rPr>
                <w:rFonts w:hint="eastAsia" w:ascii="Times New Roman" w:hAnsi="Times New Roman" w:eastAsia="宋体" w:cs="Times New Roman"/>
                <w:color w:val="auto"/>
                <w:kern w:val="18"/>
                <w:sz w:val="21"/>
                <w:szCs w:val="21"/>
                <w:lang w:val="en-US" w:eastAsia="zh-CN" w:bidi="ar-SA"/>
              </w:rPr>
              <w:t>为了防止雨水积存侵害设备等，在竖向布置上采取相应的雨水排除措施，设置必要的雨水排水管道，并采取必要的防涝措施；场地地形地貌较为简单，地势平坦。竖向设计坡向与场地自然坡向相同。所在地发生台风几率非常小。</w:t>
            </w:r>
          </w:p>
        </w:tc>
        <w:tc>
          <w:tcPr>
            <w:tcW w:w="1223" w:type="dxa"/>
            <w:noWrap w:val="0"/>
            <w:vAlign w:val="center"/>
          </w:tcPr>
          <w:p w14:paraId="77C065E6">
            <w:pPr>
              <w:pStyle w:val="43"/>
              <w:keepNext w:val="0"/>
              <w:keepLines w:val="0"/>
              <w:pageBreakBefore w:val="0"/>
              <w:widowControl w:val="0"/>
              <w:kinsoku/>
              <w:wordWrap/>
              <w:overflowPunct/>
              <w:topLinePunct w:val="0"/>
              <w:autoSpaceDE/>
              <w:autoSpaceDN/>
              <w:bidi w:val="0"/>
              <w:spacing w:line="320" w:lineRule="exact"/>
              <w:jc w:val="center"/>
              <w:textAlignment w:val="auto"/>
              <w:rPr>
                <w:rFonts w:hint="default" w:eastAsia="宋体"/>
                <w:color w:val="auto"/>
                <w:lang w:val="en-US" w:eastAsia="zh-CN"/>
              </w:rPr>
            </w:pPr>
            <w:r>
              <w:rPr>
                <w:rFonts w:hint="eastAsia"/>
                <w:color w:val="auto"/>
                <w:lang w:val="en-US" w:eastAsia="zh-CN"/>
              </w:rPr>
              <w:t>制定了防汛防范措施</w:t>
            </w:r>
          </w:p>
        </w:tc>
        <w:tc>
          <w:tcPr>
            <w:tcW w:w="795" w:type="dxa"/>
            <w:noWrap w:val="0"/>
            <w:vAlign w:val="center"/>
          </w:tcPr>
          <w:p w14:paraId="58CA6056">
            <w:pPr>
              <w:pStyle w:val="43"/>
              <w:keepNext w:val="0"/>
              <w:keepLines w:val="0"/>
              <w:pageBreakBefore w:val="0"/>
              <w:widowControl w:val="0"/>
              <w:kinsoku/>
              <w:wordWrap/>
              <w:overflowPunct/>
              <w:topLinePunct w:val="0"/>
              <w:autoSpaceDE/>
              <w:autoSpaceDN/>
              <w:bidi w:val="0"/>
              <w:spacing w:before="0" w:after="0" w:line="320" w:lineRule="exact"/>
              <w:ind w:firstLine="0" w:firstLineChars="0"/>
              <w:jc w:val="center"/>
              <w:textAlignment w:val="auto"/>
              <w:rPr>
                <w:color w:val="auto"/>
              </w:rPr>
            </w:pPr>
            <w:r>
              <w:rPr>
                <w:rFonts w:hint="eastAsia"/>
                <w:color w:val="auto"/>
                <w:sz w:val="21"/>
                <w:szCs w:val="21"/>
                <w:lang w:val="en-US" w:eastAsia="zh-CN"/>
              </w:rPr>
              <w:t>采纳落实</w:t>
            </w:r>
          </w:p>
        </w:tc>
      </w:tr>
      <w:tr w14:paraId="1CC27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8" w:type="dxa"/>
            <w:noWrap w:val="0"/>
            <w:vAlign w:val="top"/>
          </w:tcPr>
          <w:p w14:paraId="1138B022">
            <w:pPr>
              <w:pStyle w:val="43"/>
              <w:keepNext w:val="0"/>
              <w:keepLines w:val="0"/>
              <w:pageBreakBefore w:val="0"/>
              <w:widowControl w:val="0"/>
              <w:kinsoku/>
              <w:wordWrap/>
              <w:overflowPunct/>
              <w:topLinePunct w:val="0"/>
              <w:autoSpaceDE/>
              <w:autoSpaceDN/>
              <w:bidi w:val="0"/>
              <w:spacing w:line="320" w:lineRule="exact"/>
              <w:jc w:val="both"/>
              <w:textAlignment w:val="auto"/>
              <w:rPr>
                <w:rFonts w:hint="eastAsia"/>
                <w:color w:val="auto"/>
              </w:rPr>
            </w:pPr>
            <w:r>
              <w:rPr>
                <w:rFonts w:hint="eastAsia"/>
                <w:color w:val="auto"/>
                <w:lang w:val="en-US" w:eastAsia="zh-CN"/>
              </w:rPr>
              <w:t>2</w:t>
            </w:r>
            <w:r>
              <w:rPr>
                <w:rFonts w:hint="eastAsia"/>
                <w:color w:val="auto"/>
                <w:lang w:eastAsia="zh-CN"/>
              </w:rPr>
              <w:t>、</w:t>
            </w:r>
            <w:r>
              <w:rPr>
                <w:rFonts w:hint="eastAsia"/>
                <w:color w:val="auto"/>
              </w:rPr>
              <w:t>防地质灾害</w:t>
            </w:r>
          </w:p>
          <w:p w14:paraId="4BF43DF7">
            <w:pPr>
              <w:pStyle w:val="43"/>
              <w:keepNext w:val="0"/>
              <w:keepLines w:val="0"/>
              <w:pageBreakBefore w:val="0"/>
              <w:widowControl w:val="0"/>
              <w:kinsoku/>
              <w:wordWrap/>
              <w:overflowPunct/>
              <w:topLinePunct w:val="0"/>
              <w:autoSpaceDE/>
              <w:autoSpaceDN/>
              <w:bidi w:val="0"/>
              <w:spacing w:line="320" w:lineRule="exact"/>
              <w:jc w:val="both"/>
              <w:textAlignment w:val="auto"/>
              <w:rPr>
                <w:rFonts w:hint="eastAsia"/>
                <w:color w:val="auto"/>
              </w:rPr>
            </w:pPr>
            <w:r>
              <w:rPr>
                <w:rFonts w:hint="eastAsia" w:ascii="Times New Roman" w:hAnsi="Times New Roman" w:eastAsia="宋体" w:cs="Times New Roman"/>
                <w:color w:val="auto"/>
                <w:kern w:val="18"/>
                <w:sz w:val="21"/>
                <w:szCs w:val="21"/>
                <w:lang w:val="en-US" w:eastAsia="zh-CN" w:bidi="ar-SA"/>
              </w:rPr>
              <w:t>根据《建筑抗震设计标准（2024年版）》，所在地的抗震设防烈度为6度，设计基本地震加速度为0.05g。</w:t>
            </w:r>
          </w:p>
        </w:tc>
        <w:tc>
          <w:tcPr>
            <w:tcW w:w="1223" w:type="dxa"/>
            <w:noWrap w:val="0"/>
            <w:vAlign w:val="center"/>
          </w:tcPr>
          <w:p w14:paraId="1E3B0487">
            <w:pPr>
              <w:pStyle w:val="43"/>
              <w:keepNext w:val="0"/>
              <w:keepLines w:val="0"/>
              <w:pageBreakBefore w:val="0"/>
              <w:widowControl w:val="0"/>
              <w:kinsoku/>
              <w:wordWrap/>
              <w:overflowPunct/>
              <w:topLinePunct w:val="0"/>
              <w:autoSpaceDE/>
              <w:autoSpaceDN/>
              <w:bidi w:val="0"/>
              <w:spacing w:line="320" w:lineRule="exact"/>
              <w:jc w:val="center"/>
              <w:textAlignment w:val="auto"/>
              <w:rPr>
                <w:rFonts w:hint="default" w:eastAsia="宋体"/>
                <w:color w:val="auto"/>
                <w:lang w:val="en-US" w:eastAsia="zh-CN"/>
              </w:rPr>
            </w:pPr>
            <w:r>
              <w:rPr>
                <w:rFonts w:hint="eastAsia"/>
                <w:color w:val="auto"/>
                <w:lang w:val="en-US" w:eastAsia="zh-CN"/>
              </w:rPr>
              <w:t>按要求施工，设备基础稳固牢靠</w:t>
            </w:r>
          </w:p>
        </w:tc>
        <w:tc>
          <w:tcPr>
            <w:tcW w:w="795" w:type="dxa"/>
            <w:noWrap w:val="0"/>
            <w:vAlign w:val="center"/>
          </w:tcPr>
          <w:p w14:paraId="6A033298">
            <w:pPr>
              <w:pStyle w:val="43"/>
              <w:keepNext w:val="0"/>
              <w:keepLines w:val="0"/>
              <w:pageBreakBefore w:val="0"/>
              <w:widowControl w:val="0"/>
              <w:kinsoku/>
              <w:wordWrap/>
              <w:overflowPunct/>
              <w:topLinePunct w:val="0"/>
              <w:autoSpaceDE/>
              <w:autoSpaceDN/>
              <w:bidi w:val="0"/>
              <w:spacing w:before="0" w:after="0" w:line="320" w:lineRule="exact"/>
              <w:ind w:firstLine="0" w:firstLineChars="0"/>
              <w:jc w:val="center"/>
              <w:textAlignment w:val="auto"/>
              <w:rPr>
                <w:color w:val="auto"/>
              </w:rPr>
            </w:pPr>
            <w:r>
              <w:rPr>
                <w:rFonts w:hint="eastAsia"/>
                <w:color w:val="auto"/>
                <w:sz w:val="21"/>
                <w:szCs w:val="21"/>
                <w:lang w:val="en-US" w:eastAsia="zh-CN"/>
              </w:rPr>
              <w:t>采纳落实</w:t>
            </w:r>
          </w:p>
        </w:tc>
      </w:tr>
      <w:tr w14:paraId="2FFCB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286" w:type="dxa"/>
            <w:gridSpan w:val="3"/>
            <w:noWrap w:val="0"/>
            <w:vAlign w:val="top"/>
          </w:tcPr>
          <w:p w14:paraId="4FC27D99">
            <w:pPr>
              <w:pStyle w:val="43"/>
              <w:keepNext w:val="0"/>
              <w:keepLines w:val="0"/>
              <w:pageBreakBefore w:val="0"/>
              <w:widowControl w:val="0"/>
              <w:kinsoku/>
              <w:wordWrap/>
              <w:overflowPunct/>
              <w:topLinePunct w:val="0"/>
              <w:autoSpaceDE/>
              <w:autoSpaceDN/>
              <w:bidi w:val="0"/>
              <w:spacing w:before="0" w:after="0" w:line="320" w:lineRule="exact"/>
              <w:ind w:firstLine="0" w:firstLineChars="0"/>
              <w:textAlignment w:val="auto"/>
              <w:rPr>
                <w:color w:val="auto"/>
              </w:rPr>
            </w:pPr>
            <w:r>
              <w:rPr>
                <w:b/>
                <w:bCs/>
                <w:color w:val="auto"/>
              </w:rPr>
              <w:t>4.7.2防噪声、防灼烫、防护栏、安全标志、风向标的设置等</w:t>
            </w:r>
          </w:p>
        </w:tc>
      </w:tr>
      <w:tr w14:paraId="7EFAA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2" w:hRule="atLeast"/>
          <w:jc w:val="center"/>
        </w:trPr>
        <w:tc>
          <w:tcPr>
            <w:tcW w:w="7268" w:type="dxa"/>
            <w:noWrap w:val="0"/>
            <w:vAlign w:val="top"/>
          </w:tcPr>
          <w:p w14:paraId="1C1DD095">
            <w:pPr>
              <w:pStyle w:val="43"/>
              <w:keepNext w:val="0"/>
              <w:keepLines w:val="0"/>
              <w:pageBreakBefore w:val="0"/>
              <w:widowControl w:val="0"/>
              <w:kinsoku/>
              <w:wordWrap/>
              <w:overflowPunct/>
              <w:topLinePunct w:val="0"/>
              <w:autoSpaceDE/>
              <w:autoSpaceDN/>
              <w:bidi w:val="0"/>
              <w:spacing w:line="320" w:lineRule="exact"/>
              <w:jc w:val="both"/>
              <w:textAlignment w:val="auto"/>
              <w:rPr>
                <w:rFonts w:hint="eastAsia"/>
                <w:color w:val="auto"/>
              </w:rPr>
            </w:pPr>
            <w:r>
              <w:rPr>
                <w:rFonts w:hint="eastAsia"/>
                <w:color w:val="auto"/>
              </w:rPr>
              <w:t>1</w:t>
            </w:r>
            <w:r>
              <w:rPr>
                <w:rFonts w:hint="eastAsia"/>
                <w:color w:val="auto"/>
                <w:lang w:eastAsia="zh-CN"/>
              </w:rPr>
              <w:t>、</w:t>
            </w:r>
            <w:r>
              <w:rPr>
                <w:rFonts w:hint="eastAsia"/>
                <w:color w:val="auto"/>
              </w:rPr>
              <w:t>防噪声</w:t>
            </w:r>
          </w:p>
          <w:p w14:paraId="68FC3371">
            <w:pPr>
              <w:pStyle w:val="43"/>
              <w:keepNext w:val="0"/>
              <w:keepLines w:val="0"/>
              <w:pageBreakBefore w:val="0"/>
              <w:widowControl w:val="0"/>
              <w:kinsoku/>
              <w:wordWrap/>
              <w:overflowPunct/>
              <w:topLinePunct w:val="0"/>
              <w:autoSpaceDE/>
              <w:autoSpaceDN/>
              <w:bidi w:val="0"/>
              <w:spacing w:line="320" w:lineRule="exact"/>
              <w:jc w:val="both"/>
              <w:textAlignment w:val="auto"/>
              <w:rPr>
                <w:rFonts w:hint="eastAsia"/>
                <w:color w:val="auto"/>
              </w:rPr>
            </w:pPr>
            <w:r>
              <w:rPr>
                <w:rFonts w:hint="eastAsia" w:ascii="Times New Roman" w:hAnsi="Times New Roman" w:eastAsia="宋体" w:cs="Times New Roman"/>
                <w:color w:val="auto"/>
                <w:kern w:val="18"/>
                <w:sz w:val="21"/>
                <w:szCs w:val="21"/>
                <w:lang w:val="en-US" w:eastAsia="zh-CN" w:bidi="ar-SA"/>
              </w:rPr>
              <w:t>噪音较大的设备为加油机。在设计中选用低噪声低振动的设备，通过基础减振、隔振等措施，同时噪声通过建筑物、树木的吸收隔声后，厂界噪声可满足《工业企业厂界环境噪声排放标准》（GB12348-2008）中3类区标准。</w:t>
            </w:r>
          </w:p>
        </w:tc>
        <w:tc>
          <w:tcPr>
            <w:tcW w:w="1223" w:type="dxa"/>
            <w:noWrap w:val="0"/>
            <w:vAlign w:val="center"/>
          </w:tcPr>
          <w:p w14:paraId="61607CD4">
            <w:pPr>
              <w:pStyle w:val="43"/>
              <w:keepNext w:val="0"/>
              <w:keepLines w:val="0"/>
              <w:pageBreakBefore w:val="0"/>
              <w:widowControl w:val="0"/>
              <w:kinsoku/>
              <w:wordWrap/>
              <w:overflowPunct/>
              <w:topLinePunct w:val="0"/>
              <w:autoSpaceDE/>
              <w:autoSpaceDN/>
              <w:bidi w:val="0"/>
              <w:spacing w:line="320" w:lineRule="exact"/>
              <w:jc w:val="center"/>
              <w:textAlignment w:val="auto"/>
              <w:rPr>
                <w:rFonts w:hint="default" w:eastAsia="宋体"/>
                <w:color w:val="auto"/>
                <w:lang w:val="en-US" w:eastAsia="zh-CN"/>
              </w:rPr>
            </w:pPr>
            <w:r>
              <w:rPr>
                <w:rFonts w:hint="eastAsia"/>
                <w:color w:val="auto"/>
                <w:lang w:val="en-US" w:eastAsia="zh-CN"/>
              </w:rPr>
              <w:t>采用基础减振措施</w:t>
            </w:r>
          </w:p>
        </w:tc>
        <w:tc>
          <w:tcPr>
            <w:tcW w:w="795" w:type="dxa"/>
            <w:noWrap w:val="0"/>
            <w:vAlign w:val="center"/>
          </w:tcPr>
          <w:p w14:paraId="4AB59312">
            <w:pPr>
              <w:pStyle w:val="43"/>
              <w:keepNext w:val="0"/>
              <w:keepLines w:val="0"/>
              <w:pageBreakBefore w:val="0"/>
              <w:widowControl w:val="0"/>
              <w:kinsoku/>
              <w:wordWrap/>
              <w:overflowPunct/>
              <w:topLinePunct w:val="0"/>
              <w:autoSpaceDE/>
              <w:autoSpaceDN/>
              <w:bidi w:val="0"/>
              <w:spacing w:before="0" w:after="0" w:line="320" w:lineRule="exact"/>
              <w:ind w:firstLine="0" w:firstLineChars="0"/>
              <w:jc w:val="center"/>
              <w:textAlignment w:val="auto"/>
              <w:rPr>
                <w:color w:val="auto"/>
              </w:rPr>
            </w:pPr>
            <w:r>
              <w:rPr>
                <w:rFonts w:hint="eastAsia"/>
                <w:color w:val="auto"/>
                <w:sz w:val="21"/>
                <w:szCs w:val="21"/>
                <w:lang w:val="en-US" w:eastAsia="zh-CN"/>
              </w:rPr>
              <w:t>采纳落实</w:t>
            </w:r>
          </w:p>
        </w:tc>
      </w:tr>
      <w:tr w14:paraId="7AE41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8" w:type="dxa"/>
            <w:noWrap w:val="0"/>
            <w:vAlign w:val="top"/>
          </w:tcPr>
          <w:p w14:paraId="2755CD11">
            <w:pPr>
              <w:pStyle w:val="43"/>
              <w:keepNext w:val="0"/>
              <w:keepLines w:val="0"/>
              <w:pageBreakBefore w:val="0"/>
              <w:widowControl w:val="0"/>
              <w:kinsoku/>
              <w:wordWrap/>
              <w:overflowPunct/>
              <w:topLinePunct w:val="0"/>
              <w:autoSpaceDE/>
              <w:autoSpaceDN/>
              <w:bidi w:val="0"/>
              <w:spacing w:line="320" w:lineRule="exact"/>
              <w:jc w:val="both"/>
              <w:textAlignment w:val="auto"/>
              <w:rPr>
                <w:rFonts w:hint="eastAsia"/>
                <w:color w:val="auto"/>
              </w:rPr>
            </w:pPr>
            <w:r>
              <w:rPr>
                <w:rFonts w:hint="eastAsia"/>
                <w:color w:val="auto"/>
                <w:lang w:val="en-US" w:eastAsia="zh-CN"/>
              </w:rPr>
              <w:t>2</w:t>
            </w:r>
            <w:r>
              <w:rPr>
                <w:rFonts w:hint="eastAsia"/>
                <w:color w:val="auto"/>
                <w:lang w:eastAsia="zh-CN"/>
              </w:rPr>
              <w:t>、</w:t>
            </w:r>
            <w:r>
              <w:rPr>
                <w:rFonts w:hint="eastAsia"/>
                <w:color w:val="auto"/>
              </w:rPr>
              <w:t>防护栏</w:t>
            </w:r>
          </w:p>
          <w:p w14:paraId="3A1EE99B">
            <w:pPr>
              <w:pStyle w:val="43"/>
              <w:keepNext w:val="0"/>
              <w:keepLines w:val="0"/>
              <w:pageBreakBefore w:val="0"/>
              <w:widowControl w:val="0"/>
              <w:kinsoku/>
              <w:wordWrap/>
              <w:overflowPunct/>
              <w:topLinePunct w:val="0"/>
              <w:autoSpaceDE/>
              <w:autoSpaceDN/>
              <w:bidi w:val="0"/>
              <w:spacing w:line="320" w:lineRule="exact"/>
              <w:jc w:val="both"/>
              <w:textAlignment w:val="auto"/>
              <w:rPr>
                <w:rFonts w:hint="eastAsia"/>
                <w:color w:val="FF0000"/>
              </w:rPr>
            </w:pPr>
            <w:r>
              <w:rPr>
                <w:rFonts w:hint="eastAsia" w:ascii="Times New Roman" w:hAnsi="Times New Roman" w:eastAsia="宋体" w:cs="Times New Roman"/>
                <w:color w:val="auto"/>
              </w:rPr>
              <w:t>自用撬装加油装置四周设置高0.5m防撞柱。</w:t>
            </w:r>
          </w:p>
        </w:tc>
        <w:tc>
          <w:tcPr>
            <w:tcW w:w="1223" w:type="dxa"/>
            <w:noWrap w:val="0"/>
            <w:vAlign w:val="center"/>
          </w:tcPr>
          <w:p w14:paraId="2413FEFA">
            <w:pPr>
              <w:pStyle w:val="43"/>
              <w:keepNext w:val="0"/>
              <w:keepLines w:val="0"/>
              <w:pageBreakBefore w:val="0"/>
              <w:widowControl w:val="0"/>
              <w:kinsoku/>
              <w:wordWrap/>
              <w:overflowPunct/>
              <w:topLinePunct w:val="0"/>
              <w:autoSpaceDE/>
              <w:autoSpaceDN/>
              <w:bidi w:val="0"/>
              <w:spacing w:line="320" w:lineRule="exact"/>
              <w:jc w:val="center"/>
              <w:textAlignment w:val="auto"/>
              <w:rPr>
                <w:rFonts w:hint="default" w:eastAsia="宋体"/>
                <w:color w:val="FF0000"/>
                <w:lang w:val="en-US" w:eastAsia="zh-CN"/>
              </w:rPr>
            </w:pPr>
            <w:r>
              <w:rPr>
                <w:rFonts w:hint="default"/>
                <w:b w:val="0"/>
                <w:bCs w:val="0"/>
                <w:color w:val="auto"/>
                <w:lang w:val="en-US" w:eastAsia="zh-CN"/>
              </w:rPr>
              <w:t>围</w:t>
            </w:r>
            <w:r>
              <w:rPr>
                <w:rFonts w:hint="default" w:ascii="Times New Roman" w:hAnsi="Times New Roman" w:eastAsia="宋体" w:cs="Times New Roman"/>
                <w:b w:val="0"/>
                <w:bCs w:val="0"/>
                <w:color w:val="auto"/>
                <w:lang w:val="en-US" w:eastAsia="zh-CN"/>
              </w:rPr>
              <w:t>堰周边设置</w:t>
            </w:r>
            <w:r>
              <w:rPr>
                <w:rFonts w:hint="eastAsia" w:ascii="Times New Roman" w:hAnsi="Times New Roman" w:eastAsia="宋体" w:cs="Times New Roman"/>
                <w:b w:val="0"/>
                <w:bCs w:val="0"/>
                <w:color w:val="auto"/>
                <w:lang w:val="en-US" w:eastAsia="zh-CN"/>
              </w:rPr>
              <w:t>了</w:t>
            </w:r>
            <w:r>
              <w:rPr>
                <w:rFonts w:hint="default" w:ascii="Times New Roman" w:hAnsi="Times New Roman" w:eastAsia="宋体" w:cs="Times New Roman"/>
                <w:b w:val="0"/>
                <w:bCs w:val="0"/>
                <w:color w:val="auto"/>
                <w:lang w:val="en-US" w:eastAsia="zh-CN"/>
              </w:rPr>
              <w:t>防撞</w:t>
            </w:r>
            <w:r>
              <w:rPr>
                <w:rFonts w:hint="eastAsia" w:ascii="Times New Roman" w:hAnsi="Times New Roman" w:eastAsia="宋体" w:cs="Times New Roman"/>
                <w:b w:val="0"/>
                <w:bCs w:val="0"/>
                <w:color w:val="auto"/>
                <w:lang w:val="en-US" w:eastAsia="zh-CN"/>
              </w:rPr>
              <w:t>墩</w:t>
            </w:r>
            <w:r>
              <w:rPr>
                <w:rFonts w:hint="default"/>
                <w:b w:val="0"/>
                <w:bCs w:val="0"/>
                <w:color w:val="auto"/>
                <w:lang w:val="en-US" w:eastAsia="zh-CN"/>
              </w:rPr>
              <w:t>，高度0.</w:t>
            </w:r>
            <w:r>
              <w:rPr>
                <w:rFonts w:hint="eastAsia"/>
                <w:b w:val="0"/>
                <w:bCs w:val="0"/>
                <w:color w:val="auto"/>
                <w:lang w:val="en-US" w:eastAsia="zh-CN"/>
              </w:rPr>
              <w:t>65</w:t>
            </w:r>
            <w:r>
              <w:rPr>
                <w:rFonts w:hint="default"/>
                <w:b w:val="0"/>
                <w:bCs w:val="0"/>
                <w:color w:val="auto"/>
                <w:lang w:val="en-US" w:eastAsia="zh-CN"/>
              </w:rPr>
              <w:t>m，间距0.5m。</w:t>
            </w:r>
          </w:p>
        </w:tc>
        <w:tc>
          <w:tcPr>
            <w:tcW w:w="795" w:type="dxa"/>
            <w:noWrap w:val="0"/>
            <w:vAlign w:val="center"/>
          </w:tcPr>
          <w:p w14:paraId="30244F85">
            <w:pPr>
              <w:pStyle w:val="43"/>
              <w:keepNext w:val="0"/>
              <w:keepLines w:val="0"/>
              <w:pageBreakBefore w:val="0"/>
              <w:widowControl w:val="0"/>
              <w:kinsoku/>
              <w:wordWrap/>
              <w:overflowPunct/>
              <w:topLinePunct w:val="0"/>
              <w:autoSpaceDE/>
              <w:autoSpaceDN/>
              <w:bidi w:val="0"/>
              <w:spacing w:before="0" w:after="0" w:line="320" w:lineRule="exact"/>
              <w:ind w:firstLine="0" w:firstLineChars="0"/>
              <w:jc w:val="center"/>
              <w:textAlignment w:val="auto"/>
              <w:rPr>
                <w:rFonts w:hint="eastAsia" w:ascii="Times New Roman" w:hAnsi="Times New Roman" w:eastAsia="宋体"/>
                <w:color w:val="FF0000"/>
                <w:kern w:val="18"/>
                <w:sz w:val="21"/>
                <w:szCs w:val="21"/>
                <w:lang w:val="en-US" w:eastAsia="zh-CN" w:bidi="ar-SA"/>
              </w:rPr>
            </w:pPr>
            <w:r>
              <w:rPr>
                <w:rFonts w:hint="eastAsia"/>
                <w:color w:val="auto"/>
                <w:sz w:val="21"/>
                <w:szCs w:val="21"/>
                <w:lang w:val="en-US" w:eastAsia="zh-CN"/>
              </w:rPr>
              <w:t>采纳落实</w:t>
            </w:r>
          </w:p>
        </w:tc>
      </w:tr>
      <w:tr w14:paraId="4E9DD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8" w:type="dxa"/>
            <w:noWrap w:val="0"/>
            <w:vAlign w:val="top"/>
          </w:tcPr>
          <w:p w14:paraId="68E873D5">
            <w:pPr>
              <w:keepNext w:val="0"/>
              <w:keepLines w:val="0"/>
              <w:pageBreakBefore w:val="0"/>
              <w:widowControl w:val="0"/>
              <w:kinsoku/>
              <w:wordWrap/>
              <w:overflowPunct/>
              <w:topLinePunct w:val="0"/>
              <w:autoSpaceDE/>
              <w:autoSpaceDN/>
              <w:bidi w:val="0"/>
              <w:spacing w:line="320" w:lineRule="exact"/>
              <w:ind w:left="0" w:leftChars="0" w:firstLine="0" w:firstLineChars="0"/>
              <w:jc w:val="both"/>
              <w:textAlignment w:val="auto"/>
              <w:rPr>
                <w:color w:val="auto"/>
                <w:sz w:val="21"/>
                <w:szCs w:val="21"/>
              </w:rPr>
            </w:pPr>
            <w:r>
              <w:rPr>
                <w:rFonts w:hint="eastAsia"/>
                <w:color w:val="auto"/>
                <w:sz w:val="21"/>
                <w:szCs w:val="21"/>
                <w:lang w:val="en-US" w:eastAsia="zh-CN"/>
              </w:rPr>
              <w:t>3</w:t>
            </w:r>
            <w:r>
              <w:rPr>
                <w:rFonts w:hint="eastAsia"/>
                <w:color w:val="auto"/>
                <w:lang w:eastAsia="zh-CN"/>
              </w:rPr>
              <w:t>、</w:t>
            </w:r>
            <w:r>
              <w:rPr>
                <w:color w:val="auto"/>
                <w:sz w:val="21"/>
                <w:szCs w:val="21"/>
              </w:rPr>
              <w:t>安全标志</w:t>
            </w:r>
          </w:p>
          <w:p w14:paraId="4D1FFDD5">
            <w:pPr>
              <w:keepNext w:val="0"/>
              <w:keepLines w:val="0"/>
              <w:pageBreakBefore w:val="0"/>
              <w:widowControl w:val="0"/>
              <w:kinsoku/>
              <w:wordWrap/>
              <w:overflowPunct/>
              <w:topLinePunct w:val="0"/>
              <w:autoSpaceDE/>
              <w:autoSpaceDN/>
              <w:bidi w:val="0"/>
              <w:adjustRightInd w:val="0"/>
              <w:snapToGrid w:val="0"/>
              <w:spacing w:line="320" w:lineRule="exact"/>
              <w:ind w:left="0" w:leftChars="0" w:firstLine="0" w:firstLineChars="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对存在危险、有害因素的生产部位，按照《安全色》（GB2893-2008）、《图形符号安全色和安全标志第5部分：安全标志使用原则与要求》（GB/T2893.5-2020）的规定悬挂醒目的标牌。这些标牌保证在夜间仍能起到警示作用。灭火器、火灾报警等消防用具以及严禁人员进入的危险操作区的护栏采用红色。</w:t>
            </w:r>
          </w:p>
          <w:p w14:paraId="62D53D15">
            <w:pPr>
              <w:pStyle w:val="43"/>
              <w:keepNext w:val="0"/>
              <w:keepLines w:val="0"/>
              <w:pageBreakBefore w:val="0"/>
              <w:widowControl w:val="0"/>
              <w:kinsoku/>
              <w:wordWrap/>
              <w:overflowPunct/>
              <w:topLinePunct w:val="0"/>
              <w:autoSpaceDE/>
              <w:autoSpaceDN/>
              <w:bidi w:val="0"/>
              <w:spacing w:line="320" w:lineRule="exact"/>
              <w:jc w:val="both"/>
              <w:textAlignment w:val="auto"/>
              <w:rPr>
                <w:rFonts w:hint="eastAsia"/>
                <w:color w:val="auto"/>
              </w:rPr>
            </w:pPr>
            <w:r>
              <w:rPr>
                <w:rFonts w:hint="eastAsia" w:ascii="Times New Roman" w:hAnsi="Times New Roman" w:eastAsia="宋体" w:cs="Times New Roman"/>
                <w:color w:val="auto"/>
                <w:kern w:val="18"/>
                <w:sz w:val="21"/>
                <w:szCs w:val="21"/>
                <w:lang w:val="en-US" w:eastAsia="zh-CN" w:bidi="ar-SA"/>
              </w:rPr>
              <w:t>装置区选用“禁止烟火”“严禁吸烟”“禁止鸣笛”标志，作业场所设置“禁放易燃品”、“禁止烟火”标志。加、卸油作业区，选用“注意安全”、“当心爆炸”、“当心火灾”“当心车辆”标志。在自用撬装式加油装置区设置危险性告知牌。站房设置“禁止烟火”“严禁吸烟”标志。</w:t>
            </w:r>
          </w:p>
        </w:tc>
        <w:tc>
          <w:tcPr>
            <w:tcW w:w="1223" w:type="dxa"/>
            <w:noWrap w:val="0"/>
            <w:vAlign w:val="center"/>
          </w:tcPr>
          <w:p w14:paraId="7A6B56B6">
            <w:pPr>
              <w:pStyle w:val="43"/>
              <w:keepNext w:val="0"/>
              <w:keepLines w:val="0"/>
              <w:pageBreakBefore w:val="0"/>
              <w:widowControl w:val="0"/>
              <w:kinsoku/>
              <w:wordWrap/>
              <w:overflowPunct/>
              <w:topLinePunct w:val="0"/>
              <w:autoSpaceDE/>
              <w:autoSpaceDN/>
              <w:bidi w:val="0"/>
              <w:spacing w:line="320" w:lineRule="exact"/>
              <w:jc w:val="center"/>
              <w:textAlignment w:val="auto"/>
              <w:rPr>
                <w:rFonts w:hint="default" w:eastAsia="宋体"/>
                <w:color w:val="auto"/>
                <w:lang w:val="en-US" w:eastAsia="zh-CN"/>
              </w:rPr>
            </w:pPr>
            <w:r>
              <w:rPr>
                <w:rFonts w:hint="eastAsia"/>
                <w:color w:val="auto"/>
                <w:lang w:val="en-US" w:eastAsia="zh-CN"/>
              </w:rPr>
              <w:t>按要求设置安全警示标志</w:t>
            </w:r>
          </w:p>
        </w:tc>
        <w:tc>
          <w:tcPr>
            <w:tcW w:w="795" w:type="dxa"/>
            <w:noWrap w:val="0"/>
            <w:vAlign w:val="center"/>
          </w:tcPr>
          <w:p w14:paraId="3A81135E">
            <w:pPr>
              <w:pStyle w:val="43"/>
              <w:keepNext w:val="0"/>
              <w:keepLines w:val="0"/>
              <w:pageBreakBefore w:val="0"/>
              <w:widowControl w:val="0"/>
              <w:kinsoku/>
              <w:wordWrap/>
              <w:overflowPunct/>
              <w:topLinePunct w:val="0"/>
              <w:autoSpaceDE/>
              <w:autoSpaceDN/>
              <w:bidi w:val="0"/>
              <w:spacing w:before="0" w:after="0" w:line="320" w:lineRule="exact"/>
              <w:ind w:firstLine="0" w:firstLineChars="0"/>
              <w:jc w:val="center"/>
              <w:textAlignment w:val="auto"/>
              <w:rPr>
                <w:rFonts w:hint="eastAsia" w:ascii="Times New Roman" w:hAnsi="Times New Roman" w:eastAsia="宋体"/>
                <w:color w:val="auto"/>
                <w:kern w:val="18"/>
                <w:sz w:val="21"/>
                <w:szCs w:val="21"/>
                <w:lang w:val="en-US" w:eastAsia="zh-CN" w:bidi="ar-SA"/>
              </w:rPr>
            </w:pPr>
            <w:r>
              <w:rPr>
                <w:rFonts w:hint="eastAsia"/>
                <w:color w:val="auto"/>
                <w:sz w:val="21"/>
                <w:szCs w:val="21"/>
                <w:lang w:val="en-US" w:eastAsia="zh-CN"/>
              </w:rPr>
              <w:t>采纳落实</w:t>
            </w:r>
          </w:p>
        </w:tc>
      </w:tr>
      <w:tr w14:paraId="5291C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286" w:type="dxa"/>
            <w:gridSpan w:val="3"/>
            <w:noWrap w:val="0"/>
            <w:vAlign w:val="top"/>
          </w:tcPr>
          <w:p w14:paraId="62841741">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color w:val="auto"/>
              </w:rPr>
            </w:pPr>
            <w:r>
              <w:rPr>
                <w:b/>
                <w:bCs/>
                <w:color w:val="auto"/>
                <w:sz w:val="21"/>
                <w:szCs w:val="21"/>
              </w:rPr>
              <w:t>4.7.3个体防护装备的配备</w:t>
            </w:r>
          </w:p>
        </w:tc>
      </w:tr>
      <w:tr w14:paraId="3CF7A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8" w:type="dxa"/>
            <w:noWrap w:val="0"/>
            <w:vAlign w:val="top"/>
          </w:tcPr>
          <w:p w14:paraId="19911C33">
            <w:pPr>
              <w:pStyle w:val="43"/>
              <w:keepNext w:val="0"/>
              <w:keepLines w:val="0"/>
              <w:pageBreakBefore w:val="0"/>
              <w:widowControl w:val="0"/>
              <w:kinsoku/>
              <w:wordWrap/>
              <w:overflowPunct/>
              <w:topLinePunct w:val="0"/>
              <w:autoSpaceDE/>
              <w:autoSpaceDN/>
              <w:bidi w:val="0"/>
              <w:spacing w:line="320" w:lineRule="exact"/>
              <w:jc w:val="both"/>
              <w:textAlignment w:val="auto"/>
              <w:rPr>
                <w:rFonts w:hint="eastAsia"/>
                <w:color w:val="auto"/>
              </w:rPr>
            </w:pPr>
            <w:r>
              <w:rPr>
                <w:rFonts w:hint="eastAsia"/>
                <w:color w:val="auto"/>
              </w:rPr>
              <w:t>依据《危险化学品建设项目安全设施目录》中规定的劳动防护用品和装备包括内容，设计采用个人劳保用品配备有：防静电工作服、</w:t>
            </w:r>
            <w:r>
              <w:rPr>
                <w:rFonts w:ascii="Times New Roman" w:hAnsi="Times New Roman" w:cs="Times New Roman"/>
                <w:color w:val="auto"/>
                <w:sz w:val="21"/>
                <w:szCs w:val="21"/>
              </w:rPr>
              <w:t>安全鞋</w:t>
            </w:r>
            <w:r>
              <w:rPr>
                <w:rFonts w:hint="eastAsia"/>
                <w:color w:val="auto"/>
              </w:rPr>
              <w:t>、劳防手套，</w:t>
            </w:r>
            <w:r>
              <w:rPr>
                <w:rFonts w:hint="eastAsia"/>
                <w:color w:val="auto"/>
                <w:lang w:eastAsia="zh-CN"/>
              </w:rPr>
              <w:t>还</w:t>
            </w:r>
            <w:r>
              <w:rPr>
                <w:rFonts w:hint="eastAsia"/>
                <w:color w:val="auto"/>
              </w:rPr>
              <w:t>应配备有</w:t>
            </w:r>
            <w:r>
              <w:rPr>
                <w:rFonts w:ascii="Times New Roman" w:hAnsi="Times New Roman" w:cs="Times New Roman"/>
                <w:color w:val="auto"/>
                <w:sz w:val="21"/>
                <w:szCs w:val="21"/>
              </w:rPr>
              <w:t>职业性面部防护具</w:t>
            </w:r>
            <w:r>
              <w:rPr>
                <w:rFonts w:hint="eastAsia"/>
                <w:color w:val="auto"/>
              </w:rPr>
              <w:t>等。</w:t>
            </w:r>
          </w:p>
        </w:tc>
        <w:tc>
          <w:tcPr>
            <w:tcW w:w="1223" w:type="dxa"/>
            <w:noWrap w:val="0"/>
            <w:vAlign w:val="center"/>
          </w:tcPr>
          <w:p w14:paraId="22120FC0">
            <w:pPr>
              <w:pStyle w:val="43"/>
              <w:keepNext w:val="0"/>
              <w:keepLines w:val="0"/>
              <w:pageBreakBefore w:val="0"/>
              <w:widowControl w:val="0"/>
              <w:kinsoku/>
              <w:wordWrap/>
              <w:overflowPunct/>
              <w:topLinePunct w:val="0"/>
              <w:autoSpaceDE/>
              <w:autoSpaceDN/>
              <w:bidi w:val="0"/>
              <w:spacing w:line="320" w:lineRule="exact"/>
              <w:jc w:val="center"/>
              <w:textAlignment w:val="auto"/>
              <w:rPr>
                <w:rFonts w:hint="default" w:eastAsia="宋体"/>
                <w:color w:val="auto"/>
                <w:lang w:val="en-US" w:eastAsia="zh-CN"/>
              </w:rPr>
            </w:pPr>
            <w:r>
              <w:rPr>
                <w:rFonts w:hint="eastAsia"/>
                <w:color w:val="auto"/>
                <w:lang w:val="en-US" w:eastAsia="zh-CN"/>
              </w:rPr>
              <w:t>按要求配备个人劳保用品</w:t>
            </w:r>
          </w:p>
        </w:tc>
        <w:tc>
          <w:tcPr>
            <w:tcW w:w="795" w:type="dxa"/>
            <w:noWrap w:val="0"/>
            <w:vAlign w:val="center"/>
          </w:tcPr>
          <w:p w14:paraId="1E34225C">
            <w:pPr>
              <w:keepNext w:val="0"/>
              <w:keepLines w:val="0"/>
              <w:pageBreakBefore w:val="0"/>
              <w:widowControl w:val="0"/>
              <w:kinsoku/>
              <w:wordWrap/>
              <w:overflowPunct/>
              <w:topLinePunct w:val="0"/>
              <w:autoSpaceDE/>
              <w:autoSpaceDN/>
              <w:bidi w:val="0"/>
              <w:spacing w:line="320" w:lineRule="exact"/>
              <w:ind w:firstLine="0" w:firstLineChars="0"/>
              <w:jc w:val="center"/>
              <w:textAlignment w:val="auto"/>
              <w:rPr>
                <w:color w:val="auto"/>
              </w:rPr>
            </w:pPr>
            <w:r>
              <w:rPr>
                <w:rFonts w:hint="eastAsia"/>
                <w:color w:val="auto"/>
                <w:sz w:val="21"/>
                <w:szCs w:val="21"/>
                <w:lang w:val="en-US" w:eastAsia="zh-CN"/>
              </w:rPr>
              <w:t>采纳落实</w:t>
            </w:r>
          </w:p>
        </w:tc>
      </w:tr>
      <w:tr w14:paraId="0FA2A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286" w:type="dxa"/>
            <w:gridSpan w:val="3"/>
            <w:noWrap w:val="0"/>
            <w:vAlign w:val="top"/>
          </w:tcPr>
          <w:p w14:paraId="7DF65E8E">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color w:val="auto"/>
              </w:rPr>
            </w:pPr>
            <w:r>
              <w:rPr>
                <w:b/>
                <w:bCs/>
                <w:color w:val="auto"/>
                <w:sz w:val="21"/>
                <w:szCs w:val="21"/>
              </w:rPr>
              <w:t>4.7.4</w:t>
            </w:r>
            <w:r>
              <w:rPr>
                <w:rFonts w:hint="eastAsia" w:ascii="Times New Roman" w:hAnsi="Times New Roman" w:eastAsia="宋体" w:cs="Times New Roman"/>
                <w:b/>
                <w:bCs/>
                <w:color w:val="auto"/>
                <w:kern w:val="18"/>
                <w:sz w:val="21"/>
                <w:szCs w:val="21"/>
                <w:lang w:val="en-US" w:eastAsia="zh-CN" w:bidi="ar-SA"/>
              </w:rPr>
              <w:t>采取的其他安全防范设施</w:t>
            </w:r>
          </w:p>
        </w:tc>
      </w:tr>
      <w:tr w14:paraId="3CB1F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8" w:type="dxa"/>
            <w:noWrap w:val="0"/>
            <w:vAlign w:val="top"/>
          </w:tcPr>
          <w:p w14:paraId="4FD92C11">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Chars="0"/>
              <w:textAlignment w:val="auto"/>
              <w:rPr>
                <w:rFonts w:hint="default" w:ascii="Times New Roman" w:hAnsi="Times New Roman" w:eastAsia="宋体" w:cs="Times New Roman"/>
                <w:color w:val="auto"/>
                <w:kern w:val="18"/>
                <w:sz w:val="21"/>
                <w:szCs w:val="21"/>
                <w:lang w:val="en-US" w:eastAsia="zh-CN" w:bidi="ar-SA"/>
              </w:rPr>
            </w:pPr>
            <w:r>
              <w:rPr>
                <w:rFonts w:hint="default" w:ascii="Times New Roman" w:hAnsi="Times New Roman" w:eastAsia="宋体" w:cs="Times New Roman"/>
                <w:color w:val="auto"/>
                <w:kern w:val="18"/>
                <w:sz w:val="21"/>
                <w:szCs w:val="21"/>
                <w:lang w:val="en-US" w:eastAsia="zh-CN" w:bidi="ar-SA"/>
              </w:rPr>
              <w:t>（1）停车位与加油机之间需保留至少1.5m的安全操作距离，且车辆停靠后，车门开启方向需避开加油机喷头及油罐区。</w:t>
            </w:r>
          </w:p>
          <w:p w14:paraId="163D50EF">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Chars="0"/>
              <w:textAlignment w:val="auto"/>
              <w:rPr>
                <w:rFonts w:hint="default" w:ascii="Times New Roman" w:hAnsi="Times New Roman" w:eastAsia="宋体" w:cs="Times New Roman"/>
                <w:color w:val="auto"/>
                <w:kern w:val="18"/>
                <w:sz w:val="21"/>
                <w:szCs w:val="21"/>
                <w:lang w:val="en-US" w:eastAsia="zh-CN" w:bidi="ar-SA"/>
              </w:rPr>
            </w:pPr>
            <w:r>
              <w:rPr>
                <w:rFonts w:hint="default" w:ascii="Times New Roman" w:hAnsi="Times New Roman" w:eastAsia="宋体" w:cs="Times New Roman"/>
                <w:color w:val="auto"/>
                <w:kern w:val="18"/>
                <w:sz w:val="21"/>
                <w:szCs w:val="21"/>
                <w:lang w:val="en-US" w:eastAsia="zh-CN" w:bidi="ar-SA"/>
              </w:rPr>
              <w:t>（2）在停车位前端设置停止线（白色实线，长度与车位同宽），提示司机</w:t>
            </w:r>
            <w:r>
              <w:rPr>
                <w:rFonts w:hint="eastAsia" w:ascii="宋体" w:hAnsi="宋体" w:eastAsia="宋体" w:cs="宋体"/>
                <w:color w:val="auto"/>
                <w:kern w:val="18"/>
                <w:sz w:val="21"/>
                <w:szCs w:val="21"/>
                <w:lang w:val="en-US" w:eastAsia="zh-CN" w:bidi="ar-SA"/>
              </w:rPr>
              <w:t>“到此停车”</w:t>
            </w:r>
            <w:r>
              <w:rPr>
                <w:rFonts w:hint="default" w:ascii="Times New Roman" w:hAnsi="Times New Roman" w:eastAsia="宋体" w:cs="Times New Roman"/>
                <w:color w:val="auto"/>
                <w:kern w:val="18"/>
                <w:sz w:val="21"/>
                <w:szCs w:val="21"/>
                <w:lang w:val="en-US" w:eastAsia="zh-CN" w:bidi="ar-SA"/>
              </w:rPr>
              <w:t>，避免车辆过度驶入。</w:t>
            </w:r>
          </w:p>
          <w:p w14:paraId="6A8CA0C6">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Chars="0"/>
              <w:textAlignment w:val="auto"/>
              <w:rPr>
                <w:rFonts w:hint="default" w:ascii="Times New Roman" w:hAnsi="Times New Roman" w:eastAsia="宋体" w:cs="Times New Roman"/>
                <w:color w:val="auto"/>
                <w:kern w:val="18"/>
                <w:sz w:val="21"/>
                <w:szCs w:val="21"/>
                <w:lang w:val="en-US" w:eastAsia="zh-CN" w:bidi="ar-SA"/>
              </w:rPr>
            </w:pPr>
            <w:r>
              <w:rPr>
                <w:rFonts w:hint="default" w:ascii="Times New Roman" w:hAnsi="Times New Roman" w:eastAsia="宋体" w:cs="Times New Roman"/>
                <w:color w:val="auto"/>
                <w:kern w:val="18"/>
                <w:sz w:val="21"/>
                <w:szCs w:val="21"/>
                <w:lang w:val="en-US" w:eastAsia="zh-CN" w:bidi="ar-SA"/>
              </w:rPr>
              <w:t>（3）入口区域设置车辆限速标识、禁止烟火标识、必须熄火标识、禁止拨打手机标识、限高限宽标识。</w:t>
            </w:r>
          </w:p>
          <w:p w14:paraId="6C043945">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Chars="0"/>
              <w:textAlignment w:val="auto"/>
              <w:rPr>
                <w:rFonts w:hint="default" w:ascii="Times New Roman" w:hAnsi="Times New Roman" w:eastAsia="宋体" w:cs="Times New Roman"/>
                <w:color w:val="auto"/>
                <w:kern w:val="18"/>
                <w:sz w:val="21"/>
                <w:szCs w:val="21"/>
                <w:lang w:val="en-US" w:eastAsia="zh-CN" w:bidi="ar-SA"/>
              </w:rPr>
            </w:pPr>
            <w:r>
              <w:rPr>
                <w:rFonts w:hint="default" w:ascii="Times New Roman" w:hAnsi="Times New Roman" w:eastAsia="宋体" w:cs="Times New Roman"/>
                <w:color w:val="auto"/>
                <w:kern w:val="18"/>
                <w:sz w:val="21"/>
                <w:szCs w:val="21"/>
                <w:lang w:val="en-US" w:eastAsia="zh-CN" w:bidi="ar-SA"/>
              </w:rPr>
              <w:t>（4）出口区域设置箭头引导标识、注意盲区标识。</w:t>
            </w:r>
          </w:p>
        </w:tc>
        <w:tc>
          <w:tcPr>
            <w:tcW w:w="1223" w:type="dxa"/>
            <w:noWrap w:val="0"/>
            <w:vAlign w:val="center"/>
          </w:tcPr>
          <w:p w14:paraId="3D52F960">
            <w:pPr>
              <w:pStyle w:val="43"/>
              <w:keepNext w:val="0"/>
              <w:keepLines w:val="0"/>
              <w:pageBreakBefore w:val="0"/>
              <w:widowControl w:val="0"/>
              <w:kinsoku/>
              <w:wordWrap/>
              <w:overflowPunct/>
              <w:topLinePunct w:val="0"/>
              <w:autoSpaceDE/>
              <w:autoSpaceDN/>
              <w:bidi w:val="0"/>
              <w:spacing w:line="320" w:lineRule="exact"/>
              <w:jc w:val="center"/>
              <w:textAlignment w:val="auto"/>
              <w:rPr>
                <w:rFonts w:hint="default" w:eastAsia="宋体"/>
                <w:color w:val="auto"/>
                <w:lang w:val="en-US" w:eastAsia="zh-CN"/>
              </w:rPr>
            </w:pPr>
            <w:r>
              <w:rPr>
                <w:rFonts w:hint="eastAsia" w:eastAsia="宋体"/>
                <w:color w:val="auto"/>
                <w:lang w:val="en-US" w:eastAsia="zh-CN"/>
              </w:rPr>
              <w:t>按要</w:t>
            </w:r>
            <w:r>
              <w:rPr>
                <w:rFonts w:hint="eastAsia" w:ascii="Times New Roman" w:hAnsi="Times New Roman" w:eastAsia="宋体" w:cs="Times New Roman"/>
                <w:color w:val="auto"/>
                <w:lang w:val="en-US" w:eastAsia="zh-CN"/>
              </w:rPr>
              <w:t>求设置了停车标线和进出安全警示标识</w:t>
            </w:r>
          </w:p>
        </w:tc>
        <w:tc>
          <w:tcPr>
            <w:tcW w:w="795" w:type="dxa"/>
            <w:noWrap w:val="0"/>
            <w:vAlign w:val="center"/>
          </w:tcPr>
          <w:p w14:paraId="0F07B3C8">
            <w:pPr>
              <w:keepNext w:val="0"/>
              <w:keepLines w:val="0"/>
              <w:pageBreakBefore w:val="0"/>
              <w:widowControl w:val="0"/>
              <w:kinsoku/>
              <w:wordWrap/>
              <w:overflowPunct/>
              <w:topLinePunct w:val="0"/>
              <w:autoSpaceDE/>
              <w:autoSpaceDN/>
              <w:bidi w:val="0"/>
              <w:spacing w:line="320" w:lineRule="exact"/>
              <w:ind w:firstLine="0" w:firstLineChars="0"/>
              <w:jc w:val="center"/>
              <w:textAlignment w:val="auto"/>
              <w:rPr>
                <w:color w:val="auto"/>
              </w:rPr>
            </w:pPr>
            <w:r>
              <w:rPr>
                <w:rFonts w:hint="eastAsia"/>
                <w:color w:val="auto"/>
                <w:sz w:val="21"/>
                <w:szCs w:val="21"/>
                <w:lang w:val="en-US" w:eastAsia="zh-CN"/>
              </w:rPr>
              <w:t>采纳落实</w:t>
            </w:r>
          </w:p>
        </w:tc>
      </w:tr>
      <w:tr w14:paraId="1C9F0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286" w:type="dxa"/>
            <w:gridSpan w:val="3"/>
            <w:noWrap w:val="0"/>
            <w:vAlign w:val="top"/>
          </w:tcPr>
          <w:p w14:paraId="4CF2D508">
            <w:pPr>
              <w:pStyle w:val="43"/>
              <w:keepNext w:val="0"/>
              <w:keepLines w:val="0"/>
              <w:pageBreakBefore w:val="0"/>
              <w:widowControl w:val="0"/>
              <w:kinsoku/>
              <w:wordWrap/>
              <w:overflowPunct/>
              <w:topLinePunct w:val="0"/>
              <w:autoSpaceDE/>
              <w:autoSpaceDN/>
              <w:bidi w:val="0"/>
              <w:spacing w:before="0" w:after="0" w:line="320" w:lineRule="exact"/>
              <w:ind w:firstLine="0" w:firstLineChars="0"/>
              <w:jc w:val="center"/>
              <w:textAlignment w:val="auto"/>
              <w:rPr>
                <w:rFonts w:hint="default" w:eastAsia="宋体"/>
                <w:color w:val="auto"/>
                <w:lang w:val="en-US" w:eastAsia="zh-CN"/>
              </w:rPr>
            </w:pPr>
            <w:r>
              <w:rPr>
                <w:b/>
                <w:bCs/>
                <w:color w:val="auto"/>
              </w:rPr>
              <w:t>4.7.</w:t>
            </w:r>
            <w:r>
              <w:rPr>
                <w:rFonts w:hint="eastAsia"/>
                <w:b/>
                <w:bCs/>
                <w:color w:val="auto"/>
                <w:lang w:val="en-US" w:eastAsia="zh-CN"/>
              </w:rPr>
              <w:t>4 其他安全防范措施</w:t>
            </w:r>
          </w:p>
        </w:tc>
      </w:tr>
      <w:tr w14:paraId="72794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8" w:type="dxa"/>
            <w:noWrap w:val="0"/>
            <w:vAlign w:val="top"/>
          </w:tcPr>
          <w:p w14:paraId="2C65A406">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Chars="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2、加卸油安全管理</w:t>
            </w:r>
          </w:p>
          <w:p w14:paraId="12373654">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Chars="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（1）作业人员主动引导车辆进入加油位置，机动车在进入自用撬装柴油加油装置加油时需熄火，加完之后再缓慢开出站区，限速5km/h。</w:t>
            </w:r>
          </w:p>
          <w:p w14:paraId="4D06B082">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Chars="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（2）加油、卸油严禁同时作业，装置区严禁烟火。</w:t>
            </w:r>
          </w:p>
          <w:p w14:paraId="6DC38F4F">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Chars="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（3）遇雷暴、龙卷风和台风等恶劣天气停止加油、卸油作业。</w:t>
            </w:r>
          </w:p>
          <w:p w14:paraId="252FEF4D">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Chars="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（4）作业人员经安全生产教育和培训合格后上岗，作业时穿防静电工作服和防静电鞋，不在作业区穿脱及拍打衣服、帽子或类似物。</w:t>
            </w:r>
          </w:p>
          <w:p w14:paraId="68ECC695">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Chars="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（5）进入作业区前需通过具报警功能的人体静电释放装置消除静电。</w:t>
            </w:r>
          </w:p>
          <w:p w14:paraId="4D04F884">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Chars="0"/>
              <w:textAlignment w:val="auto"/>
              <w:rPr>
                <w:rFonts w:hint="eastAsia"/>
                <w:color w:val="auto"/>
              </w:rPr>
            </w:pPr>
            <w:r>
              <w:rPr>
                <w:rFonts w:hint="eastAsia" w:ascii="Times New Roman" w:hAnsi="Times New Roman" w:eastAsia="宋体" w:cs="Times New Roman"/>
                <w:color w:val="auto"/>
                <w:kern w:val="18"/>
                <w:sz w:val="21"/>
                <w:szCs w:val="21"/>
                <w:lang w:val="en-US" w:eastAsia="zh-CN" w:bidi="ar-SA"/>
              </w:rPr>
              <w:t>（6）作业人员在确认油罐车无油品泄漏后引导油罐车进入卸油作业区，到达停车位后熄火拉上手刹，车钥匙放置指定位置管控，油罐车静置进行静电释放5min后再进行卸油作业，油罐车排气管安装阻火器。</w:t>
            </w:r>
          </w:p>
        </w:tc>
        <w:tc>
          <w:tcPr>
            <w:tcW w:w="1223" w:type="dxa"/>
            <w:noWrap w:val="0"/>
            <w:vAlign w:val="center"/>
          </w:tcPr>
          <w:p w14:paraId="3E36C26D">
            <w:pPr>
              <w:pStyle w:val="43"/>
              <w:keepNext w:val="0"/>
              <w:keepLines w:val="0"/>
              <w:pageBreakBefore w:val="0"/>
              <w:widowControl w:val="0"/>
              <w:kinsoku/>
              <w:wordWrap/>
              <w:overflowPunct/>
              <w:topLinePunct w:val="0"/>
              <w:autoSpaceDE/>
              <w:autoSpaceDN/>
              <w:bidi w:val="0"/>
              <w:spacing w:line="320" w:lineRule="exact"/>
              <w:jc w:val="center"/>
              <w:textAlignment w:val="auto"/>
              <w:rPr>
                <w:rFonts w:hint="default" w:eastAsia="宋体"/>
                <w:color w:val="auto"/>
                <w:lang w:val="en-US" w:eastAsia="zh-CN"/>
              </w:rPr>
            </w:pPr>
            <w:r>
              <w:rPr>
                <w:rFonts w:hint="eastAsia"/>
                <w:color w:val="auto"/>
                <w:lang w:val="en-US" w:eastAsia="zh-CN"/>
              </w:rPr>
              <w:t>其他安全防范措施已落实</w:t>
            </w:r>
          </w:p>
        </w:tc>
        <w:tc>
          <w:tcPr>
            <w:tcW w:w="795" w:type="dxa"/>
            <w:noWrap w:val="0"/>
            <w:vAlign w:val="center"/>
          </w:tcPr>
          <w:p w14:paraId="524B368A">
            <w:pPr>
              <w:pStyle w:val="43"/>
              <w:keepNext w:val="0"/>
              <w:keepLines w:val="0"/>
              <w:pageBreakBefore w:val="0"/>
              <w:widowControl w:val="0"/>
              <w:kinsoku/>
              <w:wordWrap/>
              <w:overflowPunct/>
              <w:topLinePunct w:val="0"/>
              <w:autoSpaceDE/>
              <w:autoSpaceDN/>
              <w:bidi w:val="0"/>
              <w:spacing w:before="0" w:after="0" w:line="320" w:lineRule="exact"/>
              <w:ind w:firstLine="0" w:firstLineChars="0"/>
              <w:jc w:val="center"/>
              <w:textAlignment w:val="auto"/>
              <w:rPr>
                <w:color w:val="auto"/>
              </w:rPr>
            </w:pPr>
            <w:r>
              <w:rPr>
                <w:rFonts w:hint="eastAsia"/>
                <w:color w:val="auto"/>
                <w:sz w:val="21"/>
                <w:szCs w:val="21"/>
                <w:lang w:val="en-US" w:eastAsia="zh-CN"/>
              </w:rPr>
              <w:t>采纳落实</w:t>
            </w:r>
          </w:p>
        </w:tc>
      </w:tr>
      <w:tr w14:paraId="49A2F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286" w:type="dxa"/>
            <w:gridSpan w:val="3"/>
            <w:noWrap w:val="0"/>
            <w:vAlign w:val="top"/>
          </w:tcPr>
          <w:p w14:paraId="5E2C9987">
            <w:pPr>
              <w:pStyle w:val="43"/>
              <w:keepNext w:val="0"/>
              <w:keepLines w:val="0"/>
              <w:pageBreakBefore w:val="0"/>
              <w:widowControl w:val="0"/>
              <w:kinsoku/>
              <w:wordWrap/>
              <w:overflowPunct/>
              <w:topLinePunct w:val="0"/>
              <w:autoSpaceDE/>
              <w:autoSpaceDN/>
              <w:bidi w:val="0"/>
              <w:spacing w:before="0" w:after="0" w:line="320" w:lineRule="exact"/>
              <w:ind w:firstLine="0" w:firstLineChars="0"/>
              <w:textAlignment w:val="auto"/>
              <w:rPr>
                <w:color w:val="auto"/>
              </w:rPr>
            </w:pPr>
            <w:bookmarkStart w:id="66" w:name="_Toc31951"/>
            <w:r>
              <w:rPr>
                <w:b/>
                <w:bCs/>
                <w:color w:val="auto"/>
              </w:rPr>
              <w:t>4.8 事故应急措施及安全管理机构</w:t>
            </w:r>
            <w:bookmarkEnd w:id="66"/>
          </w:p>
        </w:tc>
      </w:tr>
      <w:tr w14:paraId="27EC5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286" w:type="dxa"/>
            <w:gridSpan w:val="3"/>
            <w:noWrap w:val="0"/>
            <w:vAlign w:val="top"/>
          </w:tcPr>
          <w:p w14:paraId="2300875B">
            <w:pPr>
              <w:pStyle w:val="43"/>
              <w:keepNext w:val="0"/>
              <w:keepLines w:val="0"/>
              <w:pageBreakBefore w:val="0"/>
              <w:widowControl w:val="0"/>
              <w:kinsoku/>
              <w:wordWrap/>
              <w:overflowPunct/>
              <w:topLinePunct w:val="0"/>
              <w:autoSpaceDE/>
              <w:autoSpaceDN/>
              <w:bidi w:val="0"/>
              <w:spacing w:before="0" w:after="0" w:line="320" w:lineRule="exact"/>
              <w:ind w:firstLine="0" w:firstLineChars="0"/>
              <w:jc w:val="both"/>
              <w:textAlignment w:val="auto"/>
              <w:rPr>
                <w:b/>
                <w:bCs/>
                <w:color w:val="auto"/>
              </w:rPr>
            </w:pPr>
            <w:r>
              <w:rPr>
                <w:b/>
                <w:bCs/>
                <w:color w:val="auto"/>
              </w:rPr>
              <w:t>4.8.</w:t>
            </w:r>
            <w:r>
              <w:rPr>
                <w:rFonts w:hint="eastAsia"/>
                <w:b/>
                <w:bCs/>
                <w:color w:val="auto"/>
                <w:lang w:val="en-US" w:eastAsia="zh-CN"/>
              </w:rPr>
              <w:t>1</w:t>
            </w:r>
            <w:r>
              <w:rPr>
                <w:rFonts w:ascii="Times New Roman" w:hAnsi="Times New Roman" w:eastAsia="宋体" w:cs="Times New Roman"/>
                <w:b/>
                <w:bCs/>
                <w:color w:val="auto"/>
              </w:rPr>
              <w:t>应急管理的安全措施</w:t>
            </w:r>
          </w:p>
        </w:tc>
      </w:tr>
      <w:tr w14:paraId="00ED9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8" w:type="dxa"/>
            <w:noWrap w:val="0"/>
            <w:vAlign w:val="top"/>
          </w:tcPr>
          <w:p w14:paraId="4B40FEF8">
            <w:pPr>
              <w:keepNext w:val="0"/>
              <w:keepLines w:val="0"/>
              <w:pageBreakBefore w:val="0"/>
              <w:widowControl w:val="0"/>
              <w:kinsoku/>
              <w:wordWrap/>
              <w:overflowPunct/>
              <w:topLinePunct w:val="0"/>
              <w:autoSpaceDE/>
              <w:autoSpaceDN/>
              <w:bidi w:val="0"/>
              <w:adjustRightInd w:val="0"/>
              <w:snapToGrid w:val="0"/>
              <w:spacing w:line="320" w:lineRule="exact"/>
              <w:ind w:left="0" w:leftChars="0" w:firstLine="0" w:firstLineChars="0"/>
              <w:textAlignment w:val="auto"/>
              <w:rPr>
                <w:rFonts w:hint="eastAsia" w:ascii="Times New Roman" w:hAnsi="Times New Roman" w:eastAsia="宋体" w:cs="Times New Roman"/>
                <w:color w:val="auto"/>
                <w:kern w:val="18"/>
                <w:sz w:val="21"/>
                <w:szCs w:val="21"/>
                <w:lang w:val="en-US" w:eastAsia="zh-CN" w:bidi="ar-SA"/>
              </w:rPr>
            </w:pPr>
            <w:r>
              <w:rPr>
                <w:rFonts w:hint="eastAsia" w:cs="Times New Roman"/>
                <w:color w:val="auto"/>
                <w:kern w:val="18"/>
                <w:sz w:val="21"/>
                <w:szCs w:val="21"/>
                <w:lang w:val="en-US" w:eastAsia="zh-CN" w:bidi="ar-SA"/>
              </w:rPr>
              <w:t>一、</w:t>
            </w:r>
            <w:r>
              <w:rPr>
                <w:rFonts w:hint="eastAsia" w:ascii="Times New Roman" w:hAnsi="Times New Roman" w:eastAsia="宋体" w:cs="Times New Roman"/>
                <w:color w:val="auto"/>
                <w:kern w:val="18"/>
                <w:sz w:val="21"/>
                <w:szCs w:val="21"/>
                <w:lang w:val="en-US" w:eastAsia="zh-CN" w:bidi="ar-SA"/>
              </w:rPr>
              <w:t>应急管理的安全措施</w:t>
            </w:r>
          </w:p>
          <w:p w14:paraId="68602E32">
            <w:pPr>
              <w:keepNext w:val="0"/>
              <w:keepLines w:val="0"/>
              <w:pageBreakBefore w:val="0"/>
              <w:widowControl w:val="0"/>
              <w:kinsoku/>
              <w:wordWrap/>
              <w:overflowPunct/>
              <w:topLinePunct w:val="0"/>
              <w:autoSpaceDE/>
              <w:autoSpaceDN/>
              <w:bidi w:val="0"/>
              <w:adjustRightInd w:val="0"/>
              <w:snapToGrid w:val="0"/>
              <w:spacing w:line="320" w:lineRule="exact"/>
              <w:ind w:left="0" w:leftChars="0" w:firstLine="0" w:firstLineChars="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应急预案要按照《生产经营单位生产安全事故应急预案编制导则》（GB/T29639-2020）及《生产安全事故应急预案管理办法》（应急管理部令第2号令）的要求，编制自用撬装式加油装置现场处置方案并更新江西省宜丰万国矿业有限公司现有应急预案进行管理。</w:t>
            </w:r>
          </w:p>
          <w:p w14:paraId="3A830963">
            <w:pPr>
              <w:keepNext w:val="0"/>
              <w:keepLines w:val="0"/>
              <w:pageBreakBefore w:val="0"/>
              <w:widowControl w:val="0"/>
              <w:kinsoku/>
              <w:wordWrap/>
              <w:overflowPunct/>
              <w:topLinePunct w:val="0"/>
              <w:autoSpaceDE/>
              <w:autoSpaceDN/>
              <w:bidi w:val="0"/>
              <w:adjustRightInd w:val="0"/>
              <w:snapToGrid w:val="0"/>
              <w:spacing w:line="320" w:lineRule="exact"/>
              <w:ind w:left="0" w:leftChars="0" w:firstLine="0" w:firstLineChars="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制定演练计划，每年至少组织一次综合应急预案演练，每半年至少组织一次现场处置方案演练。应急预案演练结束后，对应急预案演练效果进行评估，撰写应急预案演练评估报告，分析存在的问题，并对应急预案提出修订意见。</w:t>
            </w:r>
          </w:p>
          <w:p w14:paraId="4DE7BDD1">
            <w:pPr>
              <w:keepNext w:val="0"/>
              <w:keepLines w:val="0"/>
              <w:pageBreakBefore w:val="0"/>
              <w:widowControl w:val="0"/>
              <w:kinsoku/>
              <w:wordWrap/>
              <w:overflowPunct/>
              <w:topLinePunct w:val="0"/>
              <w:autoSpaceDE/>
              <w:autoSpaceDN/>
              <w:bidi w:val="0"/>
              <w:adjustRightInd w:val="0"/>
              <w:snapToGrid w:val="0"/>
              <w:spacing w:line="320" w:lineRule="exact"/>
              <w:ind w:left="0" w:leftChars="0" w:firstLine="0" w:firstLineChars="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每三年进行一次应急预案评估。应急预案评估可以邀请相关专业机构或者有关专家、有实际应急救援工作经验的人员参加，必要时可以委托安全生产技术服务机构实施。</w:t>
            </w:r>
          </w:p>
          <w:p w14:paraId="4411F634">
            <w:pPr>
              <w:keepNext w:val="0"/>
              <w:keepLines w:val="0"/>
              <w:pageBreakBefore w:val="0"/>
              <w:widowControl w:val="0"/>
              <w:kinsoku/>
              <w:wordWrap/>
              <w:overflowPunct/>
              <w:topLinePunct w:val="0"/>
              <w:autoSpaceDE/>
              <w:autoSpaceDN/>
              <w:bidi w:val="0"/>
              <w:adjustRightInd w:val="0"/>
              <w:snapToGrid w:val="0"/>
              <w:spacing w:line="320" w:lineRule="exact"/>
              <w:ind w:left="0" w:leftChars="0" w:firstLine="0" w:firstLineChars="0"/>
              <w:textAlignment w:val="auto"/>
              <w:rPr>
                <w:rFonts w:hint="eastAsia"/>
                <w:color w:val="auto"/>
              </w:rPr>
            </w:pPr>
            <w:r>
              <w:rPr>
                <w:rFonts w:hint="eastAsia" w:ascii="Times New Roman" w:hAnsi="Times New Roman" w:eastAsia="宋体" w:cs="Times New Roman"/>
                <w:color w:val="auto"/>
                <w:kern w:val="18"/>
                <w:sz w:val="21"/>
                <w:szCs w:val="21"/>
                <w:lang w:val="en-US" w:eastAsia="zh-CN" w:bidi="ar-SA"/>
              </w:rPr>
              <w:t>安全应急救护方面，需储备足量的应急救援物资，并建立应急救援物资检查维护制度。</w:t>
            </w:r>
          </w:p>
        </w:tc>
        <w:tc>
          <w:tcPr>
            <w:tcW w:w="1223" w:type="dxa"/>
            <w:noWrap w:val="0"/>
            <w:vAlign w:val="center"/>
          </w:tcPr>
          <w:p w14:paraId="19F0B104">
            <w:pPr>
              <w:pStyle w:val="43"/>
              <w:keepNext w:val="0"/>
              <w:keepLines w:val="0"/>
              <w:pageBreakBefore w:val="0"/>
              <w:widowControl w:val="0"/>
              <w:kinsoku/>
              <w:wordWrap/>
              <w:overflowPunct/>
              <w:topLinePunct w:val="0"/>
              <w:autoSpaceDE/>
              <w:autoSpaceDN/>
              <w:bidi w:val="0"/>
              <w:spacing w:line="320" w:lineRule="exact"/>
              <w:jc w:val="center"/>
              <w:textAlignment w:val="auto"/>
              <w:rPr>
                <w:rFonts w:hint="default" w:eastAsia="宋体"/>
                <w:b w:val="0"/>
                <w:bCs w:val="0"/>
                <w:color w:val="auto"/>
                <w:lang w:val="en-US" w:eastAsia="zh-CN"/>
              </w:rPr>
            </w:pPr>
            <w:r>
              <w:rPr>
                <w:rFonts w:hint="eastAsia"/>
                <w:b w:val="0"/>
                <w:bCs w:val="0"/>
                <w:color w:val="auto"/>
                <w:lang w:val="en-US" w:eastAsia="zh-CN"/>
              </w:rPr>
              <w:t>制定了应急预案并已演练</w:t>
            </w:r>
          </w:p>
        </w:tc>
        <w:tc>
          <w:tcPr>
            <w:tcW w:w="795" w:type="dxa"/>
            <w:noWrap w:val="0"/>
            <w:vAlign w:val="center"/>
          </w:tcPr>
          <w:p w14:paraId="21B8576C">
            <w:pPr>
              <w:pStyle w:val="43"/>
              <w:keepNext w:val="0"/>
              <w:keepLines w:val="0"/>
              <w:pageBreakBefore w:val="0"/>
              <w:widowControl w:val="0"/>
              <w:kinsoku/>
              <w:wordWrap/>
              <w:overflowPunct/>
              <w:topLinePunct w:val="0"/>
              <w:autoSpaceDE/>
              <w:autoSpaceDN/>
              <w:bidi w:val="0"/>
              <w:spacing w:before="0" w:after="0" w:line="320" w:lineRule="exact"/>
              <w:ind w:firstLine="0" w:firstLineChars="0"/>
              <w:jc w:val="center"/>
              <w:textAlignment w:val="auto"/>
              <w:rPr>
                <w:b w:val="0"/>
                <w:bCs w:val="0"/>
                <w:color w:val="auto"/>
              </w:rPr>
            </w:pPr>
            <w:r>
              <w:rPr>
                <w:rFonts w:hint="eastAsia"/>
                <w:b w:val="0"/>
                <w:bCs w:val="0"/>
                <w:color w:val="auto"/>
                <w:sz w:val="21"/>
                <w:szCs w:val="21"/>
                <w:lang w:val="en-US" w:eastAsia="zh-CN"/>
              </w:rPr>
              <w:t>采纳落实</w:t>
            </w:r>
          </w:p>
        </w:tc>
      </w:tr>
      <w:tr w14:paraId="3D7C3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68" w:type="dxa"/>
            <w:noWrap w:val="0"/>
            <w:vAlign w:val="top"/>
          </w:tcPr>
          <w:p w14:paraId="7C919F84">
            <w:pPr>
              <w:keepNext w:val="0"/>
              <w:keepLines w:val="0"/>
              <w:pageBreakBefore w:val="0"/>
              <w:widowControl w:val="0"/>
              <w:kinsoku/>
              <w:wordWrap/>
              <w:overflowPunct/>
              <w:topLinePunct w:val="0"/>
              <w:autoSpaceDE/>
              <w:autoSpaceDN/>
              <w:bidi w:val="0"/>
              <w:adjustRightInd w:val="0"/>
              <w:snapToGrid w:val="0"/>
              <w:spacing w:line="320" w:lineRule="exact"/>
              <w:ind w:left="0" w:leftChars="0" w:firstLine="0" w:firstLineChars="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二、防患重大安全隐患的措施</w:t>
            </w:r>
          </w:p>
          <w:p w14:paraId="1F8B931E">
            <w:pPr>
              <w:keepNext w:val="0"/>
              <w:keepLines w:val="0"/>
              <w:pageBreakBefore w:val="0"/>
              <w:widowControl w:val="0"/>
              <w:kinsoku/>
              <w:wordWrap/>
              <w:overflowPunct/>
              <w:topLinePunct w:val="0"/>
              <w:autoSpaceDE/>
              <w:autoSpaceDN/>
              <w:bidi w:val="0"/>
              <w:adjustRightInd w:val="0"/>
              <w:snapToGrid w:val="0"/>
              <w:spacing w:line="320" w:lineRule="exact"/>
              <w:ind w:left="0" w:leftChars="0" w:firstLine="0" w:firstLineChars="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1、防泄漏措施</w:t>
            </w:r>
          </w:p>
          <w:p w14:paraId="064C7A93">
            <w:pPr>
              <w:keepNext w:val="0"/>
              <w:keepLines w:val="0"/>
              <w:pageBreakBefore w:val="0"/>
              <w:widowControl w:val="0"/>
              <w:kinsoku/>
              <w:wordWrap/>
              <w:overflowPunct/>
              <w:topLinePunct w:val="0"/>
              <w:autoSpaceDE/>
              <w:autoSpaceDN/>
              <w:bidi w:val="0"/>
              <w:adjustRightInd w:val="0"/>
              <w:snapToGrid w:val="0"/>
              <w:spacing w:line="320" w:lineRule="exact"/>
              <w:ind w:left="0" w:leftChars="0" w:firstLine="0" w:firstLineChars="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（1）设计中所选用的管线、管件、垫片及阀门的材料保证有足够的机械强度、耐腐蚀性及使用期限，管线的设计、制造、安装及试压等技术条件符合国家现行标准和规范。</w:t>
            </w:r>
          </w:p>
          <w:p w14:paraId="006534D0">
            <w:pPr>
              <w:keepNext w:val="0"/>
              <w:keepLines w:val="0"/>
              <w:pageBreakBefore w:val="0"/>
              <w:widowControl w:val="0"/>
              <w:kinsoku/>
              <w:wordWrap/>
              <w:overflowPunct/>
              <w:topLinePunct w:val="0"/>
              <w:autoSpaceDE/>
              <w:autoSpaceDN/>
              <w:bidi w:val="0"/>
              <w:adjustRightInd w:val="0"/>
              <w:snapToGrid w:val="0"/>
              <w:spacing w:line="320" w:lineRule="exact"/>
              <w:ind w:left="0" w:leftChars="0" w:firstLine="0" w:firstLineChars="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（2）设备选用有资质的正规厂家生产的设备，保证设备的加工质量。</w:t>
            </w:r>
          </w:p>
          <w:p w14:paraId="29B8B3E4">
            <w:pPr>
              <w:keepNext w:val="0"/>
              <w:keepLines w:val="0"/>
              <w:pageBreakBefore w:val="0"/>
              <w:widowControl w:val="0"/>
              <w:kinsoku/>
              <w:wordWrap/>
              <w:overflowPunct/>
              <w:topLinePunct w:val="0"/>
              <w:autoSpaceDE/>
              <w:autoSpaceDN/>
              <w:bidi w:val="0"/>
              <w:adjustRightInd w:val="0"/>
              <w:snapToGrid w:val="0"/>
              <w:spacing w:line="320" w:lineRule="exact"/>
              <w:ind w:left="0" w:leftChars="0" w:firstLine="0" w:firstLineChars="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（3）自用撬装式加油装置周围设置围堰，并对围堰做防渗处理，防止罐体泄漏造成柴油流散。</w:t>
            </w:r>
          </w:p>
          <w:p w14:paraId="0C1E2691">
            <w:pPr>
              <w:keepNext w:val="0"/>
              <w:keepLines w:val="0"/>
              <w:pageBreakBefore w:val="0"/>
              <w:widowControl w:val="0"/>
              <w:kinsoku/>
              <w:wordWrap/>
              <w:overflowPunct/>
              <w:topLinePunct w:val="0"/>
              <w:autoSpaceDE/>
              <w:autoSpaceDN/>
              <w:bidi w:val="0"/>
              <w:adjustRightInd w:val="0"/>
              <w:snapToGrid w:val="0"/>
              <w:spacing w:line="320" w:lineRule="exact"/>
              <w:ind w:left="0" w:leftChars="0" w:firstLine="0" w:firstLineChars="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2、防火、防爆安全措施</w:t>
            </w:r>
          </w:p>
          <w:p w14:paraId="227972C5">
            <w:pPr>
              <w:keepNext w:val="0"/>
              <w:keepLines w:val="0"/>
              <w:pageBreakBefore w:val="0"/>
              <w:widowControl w:val="0"/>
              <w:kinsoku/>
              <w:wordWrap/>
              <w:overflowPunct/>
              <w:topLinePunct w:val="0"/>
              <w:autoSpaceDE/>
              <w:autoSpaceDN/>
              <w:bidi w:val="0"/>
              <w:adjustRightInd w:val="0"/>
              <w:snapToGrid w:val="0"/>
              <w:spacing w:line="320" w:lineRule="exact"/>
              <w:ind w:left="0" w:leftChars="0" w:firstLine="0" w:firstLineChars="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（1）站内所有可能产生静电的设备金属外壳、钢梯、储存输送可燃液体的设备做防静电接地。</w:t>
            </w:r>
          </w:p>
          <w:p w14:paraId="52358F20">
            <w:pPr>
              <w:keepNext w:val="0"/>
              <w:keepLines w:val="0"/>
              <w:pageBreakBefore w:val="0"/>
              <w:widowControl w:val="0"/>
              <w:kinsoku/>
              <w:wordWrap/>
              <w:overflowPunct/>
              <w:topLinePunct w:val="0"/>
              <w:autoSpaceDE/>
              <w:autoSpaceDN/>
              <w:bidi w:val="0"/>
              <w:adjustRightInd w:val="0"/>
              <w:snapToGrid w:val="0"/>
              <w:spacing w:line="320" w:lineRule="exact"/>
              <w:ind w:left="0" w:leftChars="0" w:firstLine="0" w:firstLineChars="0"/>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（2）自用撬装式加油装置区域设置“禁止吸烟”、“禁止烟火”、“禁止穿化纤衣服”“小心中毒”等安全警示标识。</w:t>
            </w:r>
          </w:p>
          <w:p w14:paraId="4052EBE6">
            <w:pPr>
              <w:keepNext w:val="0"/>
              <w:keepLines w:val="0"/>
              <w:pageBreakBefore w:val="0"/>
              <w:widowControl w:val="0"/>
              <w:kinsoku/>
              <w:wordWrap/>
              <w:overflowPunct/>
              <w:topLinePunct w:val="0"/>
              <w:autoSpaceDE/>
              <w:autoSpaceDN/>
              <w:bidi w:val="0"/>
              <w:adjustRightInd w:val="0"/>
              <w:snapToGrid w:val="0"/>
              <w:spacing w:line="320" w:lineRule="exact"/>
              <w:ind w:left="0" w:leftChars="0" w:firstLine="0" w:firstLineChars="0"/>
              <w:textAlignment w:val="auto"/>
              <w:rPr>
                <w:rFonts w:hint="eastAsia"/>
                <w:color w:val="auto"/>
              </w:rPr>
            </w:pPr>
            <w:r>
              <w:rPr>
                <w:rFonts w:hint="eastAsia" w:ascii="Times New Roman" w:hAnsi="Times New Roman" w:eastAsia="宋体" w:cs="Times New Roman"/>
                <w:color w:val="auto"/>
                <w:kern w:val="18"/>
                <w:sz w:val="21"/>
                <w:szCs w:val="21"/>
                <w:lang w:val="en-US" w:eastAsia="zh-CN" w:bidi="ar-SA"/>
              </w:rPr>
              <w:t>（3）操作人员必须经过专门培训，严格遵守操作规程，熟练掌握操作技能，具备应急处置知识。</w:t>
            </w:r>
          </w:p>
        </w:tc>
        <w:tc>
          <w:tcPr>
            <w:tcW w:w="1223" w:type="dxa"/>
            <w:noWrap w:val="0"/>
            <w:vAlign w:val="center"/>
          </w:tcPr>
          <w:p w14:paraId="2DBF2E3E">
            <w:pPr>
              <w:pStyle w:val="43"/>
              <w:keepNext w:val="0"/>
              <w:keepLines w:val="0"/>
              <w:pageBreakBefore w:val="0"/>
              <w:widowControl w:val="0"/>
              <w:kinsoku/>
              <w:wordWrap/>
              <w:overflowPunct/>
              <w:topLinePunct w:val="0"/>
              <w:autoSpaceDE/>
              <w:autoSpaceDN/>
              <w:bidi w:val="0"/>
              <w:spacing w:line="320" w:lineRule="exact"/>
              <w:jc w:val="center"/>
              <w:textAlignment w:val="auto"/>
              <w:rPr>
                <w:rFonts w:hint="default" w:eastAsia="宋体"/>
                <w:color w:val="auto"/>
                <w:lang w:val="en-US" w:eastAsia="zh-CN"/>
              </w:rPr>
            </w:pPr>
            <w:r>
              <w:rPr>
                <w:rFonts w:hint="eastAsia"/>
                <w:color w:val="auto"/>
                <w:lang w:val="en-US" w:eastAsia="zh-CN"/>
              </w:rPr>
              <w:t>安全措施已落实</w:t>
            </w:r>
          </w:p>
        </w:tc>
        <w:tc>
          <w:tcPr>
            <w:tcW w:w="795" w:type="dxa"/>
            <w:noWrap w:val="0"/>
            <w:vAlign w:val="center"/>
          </w:tcPr>
          <w:p w14:paraId="0EDF8E39">
            <w:pPr>
              <w:keepNext w:val="0"/>
              <w:keepLines w:val="0"/>
              <w:pageBreakBefore w:val="0"/>
              <w:widowControl w:val="0"/>
              <w:kinsoku/>
              <w:wordWrap/>
              <w:overflowPunct/>
              <w:topLinePunct w:val="0"/>
              <w:autoSpaceDE/>
              <w:autoSpaceDN/>
              <w:bidi w:val="0"/>
              <w:spacing w:line="320" w:lineRule="exact"/>
              <w:ind w:firstLine="0" w:firstLineChars="0"/>
              <w:jc w:val="center"/>
              <w:textAlignment w:val="auto"/>
              <w:rPr>
                <w:color w:val="auto"/>
              </w:rPr>
            </w:pPr>
            <w:r>
              <w:rPr>
                <w:rFonts w:hint="eastAsia"/>
                <w:color w:val="auto"/>
                <w:sz w:val="21"/>
                <w:szCs w:val="21"/>
                <w:lang w:val="en-US" w:eastAsia="zh-CN"/>
              </w:rPr>
              <w:t>采纳落实</w:t>
            </w:r>
          </w:p>
        </w:tc>
      </w:tr>
    </w:tbl>
    <w:p w14:paraId="61A3D325">
      <w:pPr>
        <w:pStyle w:val="3"/>
        <w:bidi w:val="0"/>
        <w:rPr>
          <w:rFonts w:hint="default"/>
          <w:lang w:val="en-US" w:eastAsia="zh-CN"/>
        </w:rPr>
      </w:pPr>
      <w:bookmarkStart w:id="67" w:name="_Toc27872"/>
      <w:r>
        <w:rPr>
          <w:rFonts w:hint="eastAsia"/>
          <w:lang w:val="en-US" w:eastAsia="zh-CN"/>
        </w:rPr>
        <w:t>4.2 竣工验收情况</w:t>
      </w:r>
      <w:bookmarkEnd w:id="67"/>
    </w:p>
    <w:p w14:paraId="3AE84282">
      <w:pPr>
        <w:rPr>
          <w:rFonts w:hint="default"/>
          <w:lang w:val="en-US" w:eastAsia="zh-CN"/>
        </w:rPr>
      </w:pPr>
      <w:r>
        <w:rPr>
          <w:rFonts w:hint="default"/>
          <w:lang w:val="en-US" w:eastAsia="zh-CN"/>
        </w:rPr>
        <w:t>建设项目在各项检测、检验、调试工作到位后，江西省宜丰万国矿业有限公司进行了竣工验收，并验</w:t>
      </w:r>
      <w:r>
        <w:rPr>
          <w:rFonts w:hint="default"/>
          <w:b w:val="0"/>
          <w:bCs w:val="0"/>
          <w:color w:val="auto"/>
          <w:lang w:val="en-US" w:eastAsia="zh-CN"/>
        </w:rPr>
        <w:t>收合格，</w:t>
      </w:r>
      <w:r>
        <w:rPr>
          <w:rFonts w:hint="eastAsia"/>
          <w:b w:val="0"/>
          <w:bCs w:val="0"/>
          <w:color w:val="auto"/>
          <w:lang w:val="en-US" w:eastAsia="zh-CN"/>
        </w:rPr>
        <w:t>验收报告</w:t>
      </w:r>
      <w:r>
        <w:rPr>
          <w:rFonts w:hint="default"/>
          <w:b w:val="0"/>
          <w:bCs w:val="0"/>
          <w:color w:val="auto"/>
          <w:lang w:val="en-US" w:eastAsia="zh-CN"/>
        </w:rPr>
        <w:t>见附件。</w:t>
      </w:r>
    </w:p>
    <w:p w14:paraId="276E7B3F">
      <w:pPr>
        <w:pStyle w:val="3"/>
        <w:bidi w:val="0"/>
        <w:rPr>
          <w:rFonts w:hint="default"/>
          <w:lang w:val="en-US" w:eastAsia="zh-CN"/>
        </w:rPr>
      </w:pPr>
      <w:bookmarkStart w:id="68" w:name="_Toc29883"/>
      <w:r>
        <w:rPr>
          <w:rFonts w:hint="default"/>
          <w:lang w:val="en-US" w:eastAsia="zh-CN"/>
        </w:rPr>
        <w:t>4.3 设备</w:t>
      </w:r>
      <w:r>
        <w:rPr>
          <w:rFonts w:hint="eastAsia"/>
          <w:lang w:val="en-US" w:eastAsia="zh-CN"/>
        </w:rPr>
        <w:t>检测</w:t>
      </w:r>
      <w:r>
        <w:rPr>
          <w:rFonts w:hint="default"/>
          <w:lang w:val="en-US" w:eastAsia="zh-CN"/>
        </w:rPr>
        <w:t>情况</w:t>
      </w:r>
      <w:bookmarkEnd w:id="68"/>
    </w:p>
    <w:p w14:paraId="22639264">
      <w:pPr>
        <w:rPr>
          <w:rFonts w:hint="default"/>
          <w:lang w:val="en-US" w:eastAsia="zh-CN"/>
        </w:rPr>
      </w:pPr>
      <w:r>
        <w:rPr>
          <w:rFonts w:hint="default"/>
          <w:lang w:val="en-US" w:eastAsia="zh-CN"/>
        </w:rPr>
        <w:t>202</w:t>
      </w:r>
      <w:r>
        <w:rPr>
          <w:rFonts w:hint="eastAsia"/>
          <w:lang w:val="en-US" w:eastAsia="zh-CN"/>
        </w:rPr>
        <w:t>5</w:t>
      </w:r>
      <w:r>
        <w:rPr>
          <w:rFonts w:hint="default"/>
          <w:lang w:val="en-US" w:eastAsia="zh-CN"/>
        </w:rPr>
        <w:t>年</w:t>
      </w:r>
      <w:r>
        <w:rPr>
          <w:rFonts w:hint="eastAsia"/>
          <w:lang w:val="en-US" w:eastAsia="zh-CN"/>
        </w:rPr>
        <w:t>7</w:t>
      </w:r>
      <w:r>
        <w:rPr>
          <w:rFonts w:hint="default"/>
          <w:lang w:val="en-US" w:eastAsia="zh-CN"/>
        </w:rPr>
        <w:t>月</w:t>
      </w:r>
      <w:r>
        <w:rPr>
          <w:rFonts w:hint="eastAsia"/>
          <w:lang w:val="en-US" w:eastAsia="zh-CN"/>
        </w:rPr>
        <w:t>27</w:t>
      </w:r>
      <w:r>
        <w:rPr>
          <w:rFonts w:hint="default"/>
          <w:lang w:val="en-US" w:eastAsia="zh-CN"/>
        </w:rPr>
        <w:t>～</w:t>
      </w:r>
      <w:r>
        <w:rPr>
          <w:rFonts w:hint="eastAsia"/>
          <w:lang w:val="en-US" w:eastAsia="zh-CN"/>
        </w:rPr>
        <w:t>28</w:t>
      </w:r>
      <w:r>
        <w:rPr>
          <w:rFonts w:hint="default"/>
          <w:lang w:val="en-US" w:eastAsia="zh-CN"/>
        </w:rPr>
        <w:t>日，经装置生产企业：山东建投</w:t>
      </w:r>
      <w:r>
        <w:rPr>
          <w:rFonts w:hint="eastAsia"/>
          <w:lang w:val="en-US" w:eastAsia="zh-CN"/>
        </w:rPr>
        <w:t>重工</w:t>
      </w:r>
      <w:r>
        <w:rPr>
          <w:rFonts w:hint="default"/>
          <w:lang w:val="en-US" w:eastAsia="zh-CN"/>
        </w:rPr>
        <w:t>有限公司对设备进行了</w:t>
      </w:r>
      <w:r>
        <w:rPr>
          <w:rFonts w:hint="eastAsia"/>
          <w:lang w:val="en-US" w:eastAsia="zh-CN"/>
        </w:rPr>
        <w:t>检测</w:t>
      </w:r>
      <w:r>
        <w:rPr>
          <w:rFonts w:hint="default"/>
          <w:lang w:val="en-US" w:eastAsia="zh-CN"/>
        </w:rPr>
        <w:t>，</w:t>
      </w:r>
      <w:r>
        <w:rPr>
          <w:rFonts w:hint="eastAsia"/>
          <w:lang w:val="en-US" w:eastAsia="zh-CN"/>
        </w:rPr>
        <w:t>检测</w:t>
      </w:r>
      <w:r>
        <w:rPr>
          <w:rFonts w:hint="default"/>
          <w:lang w:val="en-US" w:eastAsia="zh-CN"/>
        </w:rPr>
        <w:t>结果：合格。</w:t>
      </w:r>
    </w:p>
    <w:p w14:paraId="7D10DFBF">
      <w:pPr>
        <w:rPr>
          <w:rFonts w:hint="default"/>
          <w:lang w:val="en-US" w:eastAsia="zh-CN"/>
        </w:rPr>
      </w:pPr>
    </w:p>
    <w:p w14:paraId="66BEBCD1">
      <w:pPr>
        <w:rPr>
          <w:rFonts w:hint="default"/>
          <w:lang w:val="en-US" w:eastAsia="zh-CN"/>
        </w:rPr>
      </w:pPr>
      <w:r>
        <w:rPr>
          <w:rFonts w:hint="default"/>
          <w:lang w:val="en-US" w:eastAsia="zh-CN"/>
        </w:rPr>
        <w:br w:type="page"/>
      </w:r>
    </w:p>
    <w:p w14:paraId="7E2FB9E3">
      <w:pPr>
        <w:pStyle w:val="2"/>
        <w:numPr>
          <w:ilvl w:val="0"/>
          <w:numId w:val="1"/>
        </w:numPr>
        <w:bidi w:val="0"/>
        <w:ind w:left="0" w:leftChars="0" w:firstLine="0" w:firstLineChars="0"/>
        <w:rPr>
          <w:rFonts w:hint="default"/>
          <w:color w:val="auto"/>
          <w:lang w:val="en-US" w:eastAsia="zh-CN"/>
        </w:rPr>
      </w:pPr>
      <w:bookmarkStart w:id="69" w:name="_Toc4905"/>
      <w:r>
        <w:rPr>
          <w:rFonts w:hint="default"/>
          <w:color w:val="auto"/>
          <w:lang w:val="en-US" w:eastAsia="zh-CN"/>
        </w:rPr>
        <w:t>评价单元和安全评价方法</w:t>
      </w:r>
      <w:bookmarkEnd w:id="69"/>
    </w:p>
    <w:p w14:paraId="538BFB91">
      <w:pPr>
        <w:pStyle w:val="3"/>
        <w:bidi w:val="0"/>
        <w:rPr>
          <w:rFonts w:hint="default"/>
          <w:lang w:val="en-US" w:eastAsia="zh-CN"/>
        </w:rPr>
      </w:pPr>
      <w:bookmarkStart w:id="70" w:name="_Toc28307"/>
      <w:r>
        <w:rPr>
          <w:rFonts w:hint="default"/>
          <w:lang w:val="en-US" w:eastAsia="zh-CN"/>
        </w:rPr>
        <w:t>5.1 评价单元的划分原则</w:t>
      </w:r>
      <w:bookmarkEnd w:id="70"/>
    </w:p>
    <w:p w14:paraId="046B3CD7">
      <w:pPr>
        <w:rPr>
          <w:rFonts w:hint="default"/>
          <w:lang w:val="en-US" w:eastAsia="zh-CN"/>
        </w:rPr>
      </w:pPr>
      <w:r>
        <w:rPr>
          <w:rFonts w:hint="default"/>
          <w:lang w:val="en-US" w:eastAsia="zh-CN"/>
        </w:rPr>
        <w:t>作为评价对象的建设项目、装置（系统），一般是由相对独立、相互联系的若干部分（子系统、单元）组成，各部分的功能、含有的物质、存在的危险因素和有害因素、危险性和危害性以及安全指标均不尽相同，从而按一定的原则，将系统划分为若干评价单元。一般按以下原则进行划分：</w:t>
      </w:r>
    </w:p>
    <w:p w14:paraId="3577F19B">
      <w:pPr>
        <w:rPr>
          <w:rFonts w:hint="default"/>
          <w:lang w:val="en-US" w:eastAsia="zh-CN"/>
        </w:rPr>
      </w:pPr>
      <w:r>
        <w:rPr>
          <w:rFonts w:hint="default"/>
          <w:lang w:val="en-US" w:eastAsia="zh-CN"/>
        </w:rPr>
        <w:t>（1）以危险、有害因素的类别为主划分评价单元</w:t>
      </w:r>
    </w:p>
    <w:p w14:paraId="78659890">
      <w:pPr>
        <w:rPr>
          <w:rFonts w:hint="default"/>
          <w:lang w:val="en-US" w:eastAsia="zh-CN"/>
        </w:rPr>
      </w:pPr>
      <w:r>
        <w:rPr>
          <w:rFonts w:hint="default"/>
          <w:lang w:val="en-US" w:eastAsia="zh-CN"/>
        </w:rPr>
        <w:t>①关于工艺方案、总体布置及自然条件、社会环境等综合方面对系统的影响，宜将整个系统作为一个评价单元；</w:t>
      </w:r>
    </w:p>
    <w:p w14:paraId="64754926">
      <w:pPr>
        <w:rPr>
          <w:rFonts w:hint="default"/>
          <w:lang w:val="en-US" w:eastAsia="zh-CN"/>
        </w:rPr>
      </w:pPr>
      <w:r>
        <w:rPr>
          <w:rFonts w:hint="default"/>
          <w:lang w:val="en-US" w:eastAsia="zh-CN"/>
        </w:rPr>
        <w:t>②将具有共性危险因素、有害因素的场所和装置划为一个单元，即按有害因素的类别划分。</w:t>
      </w:r>
    </w:p>
    <w:p w14:paraId="688B15BE">
      <w:pPr>
        <w:rPr>
          <w:rFonts w:hint="default"/>
          <w:lang w:val="en-US" w:eastAsia="zh-CN"/>
        </w:rPr>
      </w:pPr>
      <w:r>
        <w:rPr>
          <w:rFonts w:hint="default"/>
          <w:lang w:val="en-US" w:eastAsia="zh-CN"/>
        </w:rPr>
        <w:t>（2）以装置和物质特征划分评价单元</w:t>
      </w:r>
    </w:p>
    <w:p w14:paraId="13D97156">
      <w:pPr>
        <w:rPr>
          <w:rFonts w:hint="default"/>
          <w:lang w:val="en-US" w:eastAsia="zh-CN"/>
        </w:rPr>
      </w:pPr>
      <w:r>
        <w:rPr>
          <w:rFonts w:hint="default"/>
          <w:lang w:val="en-US" w:eastAsia="zh-CN"/>
        </w:rPr>
        <w:t>①按装置工艺功能划分；</w:t>
      </w:r>
    </w:p>
    <w:p w14:paraId="60BDA58D">
      <w:pPr>
        <w:rPr>
          <w:rFonts w:hint="default"/>
          <w:lang w:val="en-US" w:eastAsia="zh-CN"/>
        </w:rPr>
      </w:pPr>
      <w:r>
        <w:rPr>
          <w:rFonts w:hint="default"/>
          <w:lang w:val="en-US" w:eastAsia="zh-CN"/>
        </w:rPr>
        <w:t>②按布置的相对独立性划分；</w:t>
      </w:r>
    </w:p>
    <w:p w14:paraId="13C38B80">
      <w:pPr>
        <w:rPr>
          <w:rFonts w:hint="default"/>
          <w:lang w:val="en-US" w:eastAsia="zh-CN"/>
        </w:rPr>
      </w:pPr>
      <w:r>
        <w:rPr>
          <w:rFonts w:hint="default"/>
          <w:lang w:val="en-US" w:eastAsia="zh-CN"/>
        </w:rPr>
        <w:t>③按工艺条件划分；</w:t>
      </w:r>
    </w:p>
    <w:p w14:paraId="44D588D8">
      <w:pPr>
        <w:rPr>
          <w:rFonts w:hint="default"/>
          <w:lang w:val="en-US" w:eastAsia="zh-CN"/>
        </w:rPr>
      </w:pPr>
      <w:r>
        <w:rPr>
          <w:rFonts w:hint="default"/>
          <w:lang w:val="en-US" w:eastAsia="zh-CN"/>
        </w:rPr>
        <w:t>④按贮存、处理危险物质的特性、化学能、毒性和危险物质的数量划分。</w:t>
      </w:r>
    </w:p>
    <w:p w14:paraId="55BDDD3D">
      <w:pPr>
        <w:rPr>
          <w:rFonts w:hint="default"/>
          <w:lang w:val="en-US" w:eastAsia="zh-CN"/>
        </w:rPr>
      </w:pPr>
      <w:r>
        <w:rPr>
          <w:rFonts w:hint="default"/>
          <w:lang w:val="en-US" w:eastAsia="zh-CN"/>
        </w:rPr>
        <w:t>本次评价按照《安全验收评价导则》（AQ8003</w:t>
      </w:r>
      <w:r>
        <w:rPr>
          <w:rFonts w:hint="eastAsia" w:ascii="宋体" w:hAnsi="宋体" w:eastAsia="宋体" w:cs="宋体"/>
          <w:lang w:val="en-US" w:eastAsia="zh-CN"/>
        </w:rPr>
        <w:t>-</w:t>
      </w:r>
      <w:r>
        <w:rPr>
          <w:rFonts w:hint="default"/>
          <w:lang w:val="en-US" w:eastAsia="zh-CN"/>
        </w:rPr>
        <w:t>2007）和《危险化学品建设项目安全评价细则（试行）》</w:t>
      </w:r>
      <w:r>
        <w:rPr>
          <w:rFonts w:hint="default"/>
          <w:color w:val="auto"/>
          <w:lang w:val="en-US" w:eastAsia="zh-CN"/>
        </w:rPr>
        <w:t>（安监总危化</w:t>
      </w:r>
      <w:r>
        <w:rPr>
          <w:rFonts w:hint="eastAsia" w:ascii="宋体" w:hAnsi="宋体" w:eastAsia="宋体" w:cs="宋体"/>
          <w:color w:val="auto"/>
          <w:lang w:val="en-US" w:eastAsia="zh-CN"/>
        </w:rPr>
        <w:t>[</w:t>
      </w:r>
      <w:r>
        <w:rPr>
          <w:rFonts w:hint="default"/>
          <w:color w:val="auto"/>
          <w:lang w:val="en-US" w:eastAsia="zh-CN"/>
        </w:rPr>
        <w:t>2007</w:t>
      </w:r>
      <w:r>
        <w:rPr>
          <w:rFonts w:hint="eastAsia" w:ascii="宋体" w:hAnsi="宋体" w:eastAsia="宋体" w:cs="宋体"/>
          <w:color w:val="auto"/>
          <w:lang w:val="en-US" w:eastAsia="zh-CN"/>
        </w:rPr>
        <w:t>]</w:t>
      </w:r>
      <w:r>
        <w:rPr>
          <w:rFonts w:hint="default"/>
          <w:color w:val="auto"/>
          <w:lang w:val="en-US" w:eastAsia="zh-CN"/>
        </w:rPr>
        <w:t>255号）的要求，针对江西省宜丰万国矿业有限公司</w:t>
      </w:r>
      <w:r>
        <w:rPr>
          <w:rFonts w:hint="eastAsia"/>
          <w:color w:val="auto"/>
          <w:lang w:val="en-US" w:eastAsia="zh-CN"/>
        </w:rPr>
        <w:t>铜铁选矿厂技改工程（新建内部加油站项目）</w:t>
      </w:r>
      <w:r>
        <w:rPr>
          <w:rFonts w:hint="default"/>
          <w:color w:val="auto"/>
          <w:lang w:val="en-US" w:eastAsia="zh-CN"/>
        </w:rPr>
        <w:t>的生产特点，在危险、有害因素分析的</w:t>
      </w:r>
      <w:r>
        <w:rPr>
          <w:rFonts w:hint="default"/>
          <w:lang w:val="en-US" w:eastAsia="zh-CN"/>
        </w:rPr>
        <w:t>基础上，以自然条件、基本工艺条件、危险有害因素分布及状况、便于实施评价为原则进行划分。</w:t>
      </w:r>
    </w:p>
    <w:p w14:paraId="55B7EA22">
      <w:pPr>
        <w:pStyle w:val="3"/>
        <w:bidi w:val="0"/>
        <w:rPr>
          <w:rFonts w:hint="default"/>
          <w:lang w:val="en-US" w:eastAsia="zh-CN"/>
        </w:rPr>
      </w:pPr>
      <w:bookmarkStart w:id="71" w:name="_Toc28199"/>
      <w:r>
        <w:rPr>
          <w:rFonts w:hint="default"/>
          <w:lang w:val="en-US" w:eastAsia="zh-CN"/>
        </w:rPr>
        <w:t>5.2 采用的安全评价方法及原因</w:t>
      </w:r>
      <w:bookmarkEnd w:id="71"/>
    </w:p>
    <w:p w14:paraId="56222BB4">
      <w:pPr>
        <w:rPr>
          <w:rFonts w:hint="default"/>
          <w:lang w:val="en-US" w:eastAsia="zh-CN"/>
        </w:rPr>
      </w:pPr>
      <w:r>
        <w:rPr>
          <w:rFonts w:hint="default"/>
          <w:lang w:val="en-US" w:eastAsia="zh-CN"/>
        </w:rPr>
        <w:t>为尽可能对企业所涉及的危险、有害因素进行全面分析，对危险、危害程度及后果进行计算和预测，对系统进行综合评价，根据评价方法的适应性，结合该项目生产工艺特点，选择以下安全评价方法：</w:t>
      </w:r>
    </w:p>
    <w:p w14:paraId="1E0C25B0">
      <w:pPr>
        <w:rPr>
          <w:rFonts w:hint="default"/>
          <w:lang w:val="en-US" w:eastAsia="zh-CN"/>
        </w:rPr>
      </w:pPr>
      <w:r>
        <w:rPr>
          <w:rFonts w:hint="default"/>
          <w:lang w:val="en-US" w:eastAsia="zh-CN"/>
        </w:rPr>
        <w:t>（1）安全检查表法（SCL）</w:t>
      </w:r>
    </w:p>
    <w:p w14:paraId="654E3512">
      <w:pPr>
        <w:rPr>
          <w:rFonts w:hint="default"/>
          <w:lang w:val="en-US" w:eastAsia="zh-CN"/>
        </w:rPr>
      </w:pPr>
      <w:r>
        <w:rPr>
          <w:rFonts w:hint="default"/>
          <w:lang w:val="en-US" w:eastAsia="zh-CN"/>
        </w:rPr>
        <w:t>由于安全检查表法特别适用于对评价对象现场的检查，检查项目完成后与标准的符合性，所以本评价采用安全检查表法进行评价。</w:t>
      </w:r>
    </w:p>
    <w:p w14:paraId="69599A78">
      <w:pPr>
        <w:rPr>
          <w:rFonts w:hint="default"/>
          <w:lang w:val="en-US" w:eastAsia="zh-CN"/>
        </w:rPr>
      </w:pPr>
      <w:r>
        <w:rPr>
          <w:rFonts w:hint="default"/>
          <w:lang w:val="en-US" w:eastAsia="zh-CN"/>
        </w:rPr>
        <w:t>（2）危险度评价</w:t>
      </w:r>
    </w:p>
    <w:p w14:paraId="74CB05F2">
      <w:pPr>
        <w:rPr>
          <w:rFonts w:hint="default"/>
          <w:lang w:val="en-US" w:eastAsia="zh-CN"/>
        </w:rPr>
      </w:pPr>
      <w:r>
        <w:rPr>
          <w:rFonts w:hint="default"/>
          <w:lang w:val="en-US" w:eastAsia="zh-CN"/>
        </w:rPr>
        <w:t>危险度评价法是根据日本劳动</w:t>
      </w:r>
      <w:r>
        <w:rPr>
          <w:rFonts w:hint="eastAsia" w:ascii="宋体" w:hAnsi="宋体" w:eastAsia="宋体" w:cs="宋体"/>
          <w:lang w:val="en-US" w:eastAsia="zh-CN"/>
        </w:rPr>
        <w:t>省“六阶段法”的</w:t>
      </w:r>
      <w:r>
        <w:rPr>
          <w:rFonts w:hint="default"/>
          <w:lang w:val="en-US" w:eastAsia="zh-CN"/>
        </w:rPr>
        <w:t>定量评价表，结合我国有关标准和</w:t>
      </w:r>
      <w:r>
        <w:rPr>
          <w:rFonts w:hint="eastAsia" w:ascii="宋体" w:hAnsi="宋体" w:eastAsia="宋体" w:cs="宋体"/>
          <w:lang w:val="en-US" w:eastAsia="zh-CN"/>
        </w:rPr>
        <w:t>规程编制“危险度评价取值表”，</w:t>
      </w:r>
      <w:r>
        <w:rPr>
          <w:rFonts w:hint="default"/>
          <w:lang w:val="en-US" w:eastAsia="zh-CN"/>
        </w:rPr>
        <w:t>在表中单元危险度由物质、容量、温度、压力和操作5个项目共同确定。其危险度分别按A=10分，B=5分，C=2分，D=0分赋值计分，由累计分值确定单元危险度。危险度评价取值表见表5.2-1。</w:t>
      </w:r>
    </w:p>
    <w:p w14:paraId="6F91017D">
      <w:pPr>
        <w:ind w:left="0" w:leftChars="0" w:firstLine="0" w:firstLineChars="0"/>
        <w:jc w:val="center"/>
        <w:rPr>
          <w:rFonts w:hint="default"/>
          <w:lang w:val="en-US" w:eastAsia="zh-CN"/>
        </w:rPr>
      </w:pPr>
      <w:r>
        <w:rPr>
          <w:rFonts w:hint="default"/>
          <w:lang w:val="en-US" w:eastAsia="zh-CN"/>
        </w:rPr>
        <w:t>表5.2-1 危险度评价取值表</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1843"/>
        <w:gridCol w:w="2229"/>
        <w:gridCol w:w="2229"/>
        <w:gridCol w:w="1857"/>
      </w:tblGrid>
      <w:tr w14:paraId="0EF2F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 w:hRule="atLeast"/>
          <w:jc w:val="center"/>
        </w:trPr>
        <w:tc>
          <w:tcPr>
            <w:tcW w:w="1128" w:type="dxa"/>
            <w:tcBorders>
              <w:tl2br w:val="single" w:color="auto" w:sz="4" w:space="0"/>
            </w:tcBorders>
            <w:noWrap w:val="0"/>
            <w:vAlign w:val="top"/>
          </w:tcPr>
          <w:p w14:paraId="3D57E206">
            <w:pPr>
              <w:keepNext w:val="0"/>
              <w:keepLines w:val="0"/>
              <w:pageBreakBefore w:val="0"/>
              <w:widowControl w:val="0"/>
              <w:kinsoku/>
              <w:wordWrap/>
              <w:overflowPunct/>
              <w:topLinePunct w:val="0"/>
              <w:autoSpaceDE/>
              <w:autoSpaceDN/>
              <w:bidi w:val="0"/>
              <w:adjustRightInd/>
              <w:snapToGrid/>
              <w:spacing w:line="240" w:lineRule="exact"/>
              <w:ind w:firstLine="422" w:firstLineChars="200"/>
              <w:textAlignment w:val="auto"/>
              <w:rPr>
                <w:rFonts w:ascii="Times New Roman" w:hAnsi="Times New Roman"/>
                <w:b/>
                <w:bCs/>
                <w:color w:val="auto"/>
                <w:sz w:val="21"/>
                <w:szCs w:val="21"/>
              </w:rPr>
            </w:pPr>
            <w:r>
              <w:rPr>
                <w:rFonts w:ascii="Times New Roman" w:hAnsi="宋体"/>
                <w:b/>
                <w:bCs/>
                <w:color w:val="auto"/>
                <w:sz w:val="21"/>
                <w:szCs w:val="21"/>
              </w:rPr>
              <w:t>分值</w:t>
            </w:r>
          </w:p>
          <w:p w14:paraId="7CCBA717">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b/>
                <w:bCs/>
                <w:color w:val="auto"/>
                <w:sz w:val="21"/>
                <w:szCs w:val="21"/>
              </w:rPr>
            </w:pPr>
            <w:r>
              <w:rPr>
                <w:rFonts w:ascii="Times New Roman" w:hAnsi="宋体"/>
                <w:b/>
                <w:bCs/>
                <w:color w:val="auto"/>
                <w:sz w:val="21"/>
                <w:szCs w:val="21"/>
              </w:rPr>
              <w:t>项目</w:t>
            </w:r>
          </w:p>
        </w:tc>
        <w:tc>
          <w:tcPr>
            <w:tcW w:w="1843" w:type="dxa"/>
            <w:noWrap w:val="0"/>
            <w:vAlign w:val="center"/>
          </w:tcPr>
          <w:p w14:paraId="6F03BB46">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b/>
                <w:bCs/>
                <w:color w:val="auto"/>
                <w:sz w:val="21"/>
                <w:szCs w:val="21"/>
              </w:rPr>
            </w:pPr>
            <w:r>
              <w:rPr>
                <w:rFonts w:ascii="Times New Roman" w:hAnsi="Times New Roman"/>
                <w:b/>
                <w:bCs/>
                <w:color w:val="auto"/>
                <w:sz w:val="21"/>
                <w:szCs w:val="21"/>
              </w:rPr>
              <w:t>A</w:t>
            </w:r>
            <w:r>
              <w:rPr>
                <w:rFonts w:ascii="Times New Roman" w:hAnsi="宋体"/>
                <w:b/>
                <w:bCs/>
                <w:color w:val="auto"/>
                <w:sz w:val="21"/>
                <w:szCs w:val="21"/>
              </w:rPr>
              <w:t>（</w:t>
            </w:r>
            <w:r>
              <w:rPr>
                <w:rFonts w:ascii="Times New Roman" w:hAnsi="Times New Roman"/>
                <w:b/>
                <w:bCs/>
                <w:color w:val="auto"/>
                <w:sz w:val="21"/>
                <w:szCs w:val="21"/>
              </w:rPr>
              <w:t>10</w:t>
            </w:r>
            <w:r>
              <w:rPr>
                <w:rFonts w:ascii="Times New Roman" w:hAnsi="宋体"/>
                <w:b/>
                <w:bCs/>
                <w:color w:val="auto"/>
                <w:sz w:val="21"/>
                <w:szCs w:val="21"/>
              </w:rPr>
              <w:t>分）</w:t>
            </w:r>
          </w:p>
        </w:tc>
        <w:tc>
          <w:tcPr>
            <w:tcW w:w="2229" w:type="dxa"/>
            <w:noWrap w:val="0"/>
            <w:vAlign w:val="center"/>
          </w:tcPr>
          <w:p w14:paraId="334F5AEF">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b/>
                <w:bCs/>
                <w:color w:val="auto"/>
                <w:sz w:val="21"/>
                <w:szCs w:val="21"/>
              </w:rPr>
            </w:pPr>
            <w:r>
              <w:rPr>
                <w:rFonts w:ascii="Times New Roman" w:hAnsi="Times New Roman"/>
                <w:b/>
                <w:bCs/>
                <w:color w:val="auto"/>
                <w:sz w:val="21"/>
                <w:szCs w:val="21"/>
              </w:rPr>
              <w:t>B</w:t>
            </w:r>
            <w:r>
              <w:rPr>
                <w:rFonts w:ascii="Times New Roman" w:hAnsi="宋体"/>
                <w:b/>
                <w:bCs/>
                <w:color w:val="auto"/>
                <w:sz w:val="21"/>
                <w:szCs w:val="21"/>
              </w:rPr>
              <w:t>（</w:t>
            </w:r>
            <w:r>
              <w:rPr>
                <w:rFonts w:ascii="Times New Roman" w:hAnsi="Times New Roman"/>
                <w:b/>
                <w:bCs/>
                <w:color w:val="auto"/>
                <w:sz w:val="21"/>
                <w:szCs w:val="21"/>
              </w:rPr>
              <w:t>5</w:t>
            </w:r>
            <w:r>
              <w:rPr>
                <w:rFonts w:ascii="Times New Roman" w:hAnsi="宋体"/>
                <w:b/>
                <w:bCs/>
                <w:color w:val="auto"/>
                <w:sz w:val="21"/>
                <w:szCs w:val="21"/>
              </w:rPr>
              <w:t>分）</w:t>
            </w:r>
          </w:p>
        </w:tc>
        <w:tc>
          <w:tcPr>
            <w:tcW w:w="2229" w:type="dxa"/>
            <w:noWrap w:val="0"/>
            <w:vAlign w:val="center"/>
          </w:tcPr>
          <w:p w14:paraId="416C422B">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b/>
                <w:bCs/>
                <w:color w:val="auto"/>
                <w:sz w:val="21"/>
                <w:szCs w:val="21"/>
              </w:rPr>
            </w:pPr>
            <w:r>
              <w:rPr>
                <w:rFonts w:ascii="Times New Roman" w:hAnsi="Times New Roman"/>
                <w:b/>
                <w:bCs/>
                <w:color w:val="auto"/>
                <w:sz w:val="21"/>
                <w:szCs w:val="21"/>
              </w:rPr>
              <w:t>C</w:t>
            </w:r>
            <w:r>
              <w:rPr>
                <w:rFonts w:ascii="Times New Roman" w:hAnsi="宋体"/>
                <w:b/>
                <w:bCs/>
                <w:color w:val="auto"/>
                <w:sz w:val="21"/>
                <w:szCs w:val="21"/>
              </w:rPr>
              <w:t>（</w:t>
            </w:r>
            <w:r>
              <w:rPr>
                <w:rFonts w:ascii="Times New Roman" w:hAnsi="Times New Roman"/>
                <w:b/>
                <w:bCs/>
                <w:color w:val="auto"/>
                <w:sz w:val="21"/>
                <w:szCs w:val="21"/>
              </w:rPr>
              <w:t>2</w:t>
            </w:r>
            <w:r>
              <w:rPr>
                <w:rFonts w:ascii="Times New Roman" w:hAnsi="宋体"/>
                <w:b/>
                <w:bCs/>
                <w:color w:val="auto"/>
                <w:sz w:val="21"/>
                <w:szCs w:val="21"/>
              </w:rPr>
              <w:t>分）</w:t>
            </w:r>
          </w:p>
        </w:tc>
        <w:tc>
          <w:tcPr>
            <w:tcW w:w="1857" w:type="dxa"/>
            <w:noWrap w:val="0"/>
            <w:vAlign w:val="center"/>
          </w:tcPr>
          <w:p w14:paraId="43083A0A">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b/>
                <w:bCs/>
                <w:color w:val="auto"/>
                <w:sz w:val="21"/>
                <w:szCs w:val="21"/>
              </w:rPr>
            </w:pPr>
            <w:r>
              <w:rPr>
                <w:rFonts w:ascii="Times New Roman" w:hAnsi="Times New Roman"/>
                <w:b/>
                <w:bCs/>
                <w:color w:val="auto"/>
                <w:sz w:val="21"/>
                <w:szCs w:val="21"/>
              </w:rPr>
              <w:t>D</w:t>
            </w:r>
            <w:r>
              <w:rPr>
                <w:rFonts w:ascii="Times New Roman" w:hAnsi="宋体"/>
                <w:b/>
                <w:bCs/>
                <w:color w:val="auto"/>
                <w:sz w:val="21"/>
                <w:szCs w:val="21"/>
              </w:rPr>
              <w:t>（</w:t>
            </w:r>
            <w:r>
              <w:rPr>
                <w:rFonts w:ascii="Times New Roman" w:hAnsi="Times New Roman"/>
                <w:b/>
                <w:bCs/>
                <w:color w:val="auto"/>
                <w:sz w:val="21"/>
                <w:szCs w:val="21"/>
              </w:rPr>
              <w:t>0</w:t>
            </w:r>
            <w:r>
              <w:rPr>
                <w:rFonts w:ascii="Times New Roman" w:hAnsi="宋体"/>
                <w:b/>
                <w:bCs/>
                <w:color w:val="auto"/>
                <w:sz w:val="21"/>
                <w:szCs w:val="21"/>
              </w:rPr>
              <w:t>分）</w:t>
            </w:r>
          </w:p>
        </w:tc>
      </w:tr>
      <w:tr w14:paraId="3B912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 w:hRule="atLeast"/>
          <w:jc w:val="center"/>
        </w:trPr>
        <w:tc>
          <w:tcPr>
            <w:tcW w:w="1128" w:type="dxa"/>
            <w:noWrap w:val="0"/>
            <w:vAlign w:val="center"/>
          </w:tcPr>
          <w:p w14:paraId="070026A2">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color w:val="auto"/>
                <w:sz w:val="21"/>
                <w:szCs w:val="21"/>
              </w:rPr>
            </w:pPr>
            <w:r>
              <w:rPr>
                <w:rFonts w:ascii="Times New Roman" w:hAnsi="宋体"/>
                <w:color w:val="auto"/>
                <w:sz w:val="21"/>
                <w:szCs w:val="21"/>
              </w:rPr>
              <w:t>物质</w:t>
            </w:r>
          </w:p>
        </w:tc>
        <w:tc>
          <w:tcPr>
            <w:tcW w:w="1843" w:type="dxa"/>
            <w:noWrap w:val="0"/>
            <w:vAlign w:val="center"/>
          </w:tcPr>
          <w:p w14:paraId="2C5C0E93">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z w:val="21"/>
                <w:szCs w:val="21"/>
              </w:rPr>
            </w:pPr>
            <w:r>
              <w:rPr>
                <w:rFonts w:ascii="Times New Roman" w:hAnsi="宋体"/>
                <w:color w:val="auto"/>
                <w:sz w:val="21"/>
                <w:szCs w:val="21"/>
              </w:rPr>
              <w:t>甲类可燃气体；</w:t>
            </w:r>
          </w:p>
          <w:p w14:paraId="47A8FD05">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z w:val="21"/>
                <w:szCs w:val="21"/>
              </w:rPr>
            </w:pPr>
            <w:r>
              <w:rPr>
                <w:rFonts w:ascii="Times New Roman" w:hAnsi="宋体"/>
                <w:color w:val="auto"/>
                <w:sz w:val="21"/>
                <w:szCs w:val="21"/>
              </w:rPr>
              <w:t>甲</w:t>
            </w:r>
            <w:r>
              <w:rPr>
                <w:rFonts w:ascii="Times New Roman" w:hAnsi="Times New Roman"/>
                <w:color w:val="auto"/>
                <w:sz w:val="21"/>
                <w:szCs w:val="21"/>
                <w:vertAlign w:val="subscript"/>
              </w:rPr>
              <w:t>A</w:t>
            </w:r>
            <w:r>
              <w:rPr>
                <w:rFonts w:ascii="Times New Roman" w:hAnsi="宋体"/>
                <w:color w:val="auto"/>
                <w:sz w:val="21"/>
                <w:szCs w:val="21"/>
              </w:rPr>
              <w:t>类物质及液态烃类；</w:t>
            </w:r>
          </w:p>
          <w:p w14:paraId="58B2576B">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z w:val="21"/>
                <w:szCs w:val="21"/>
              </w:rPr>
            </w:pPr>
            <w:r>
              <w:rPr>
                <w:rFonts w:ascii="Times New Roman" w:hAnsi="宋体"/>
                <w:color w:val="auto"/>
                <w:sz w:val="21"/>
                <w:szCs w:val="21"/>
              </w:rPr>
              <w:t>甲类固体；</w:t>
            </w:r>
          </w:p>
          <w:p w14:paraId="5FA5E736">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z w:val="21"/>
                <w:szCs w:val="21"/>
              </w:rPr>
            </w:pPr>
            <w:r>
              <w:rPr>
                <w:rFonts w:ascii="Times New Roman" w:hAnsi="宋体"/>
                <w:color w:val="auto"/>
                <w:sz w:val="21"/>
                <w:szCs w:val="21"/>
              </w:rPr>
              <w:t>极度有害介质</w:t>
            </w:r>
          </w:p>
        </w:tc>
        <w:tc>
          <w:tcPr>
            <w:tcW w:w="2229" w:type="dxa"/>
            <w:noWrap w:val="0"/>
            <w:vAlign w:val="center"/>
          </w:tcPr>
          <w:p w14:paraId="44B16A61">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z w:val="21"/>
                <w:szCs w:val="21"/>
              </w:rPr>
            </w:pPr>
            <w:r>
              <w:rPr>
                <w:rFonts w:ascii="Times New Roman" w:hAnsi="宋体"/>
                <w:color w:val="auto"/>
                <w:sz w:val="21"/>
                <w:szCs w:val="21"/>
              </w:rPr>
              <w:t>乙类气体；</w:t>
            </w:r>
          </w:p>
          <w:p w14:paraId="01971B90">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z w:val="21"/>
                <w:szCs w:val="21"/>
              </w:rPr>
            </w:pPr>
            <w:r>
              <w:rPr>
                <w:rFonts w:ascii="Times New Roman" w:hAnsi="宋体"/>
                <w:color w:val="auto"/>
                <w:sz w:val="21"/>
                <w:szCs w:val="21"/>
              </w:rPr>
              <w:t>甲</w:t>
            </w:r>
            <w:r>
              <w:rPr>
                <w:rFonts w:ascii="Times New Roman" w:hAnsi="Times New Roman"/>
                <w:color w:val="auto"/>
                <w:sz w:val="21"/>
                <w:szCs w:val="21"/>
                <w:vertAlign w:val="subscript"/>
              </w:rPr>
              <w:t>B</w:t>
            </w:r>
            <w:r>
              <w:rPr>
                <w:rFonts w:ascii="Times New Roman" w:hAnsi="宋体"/>
                <w:color w:val="auto"/>
                <w:sz w:val="21"/>
                <w:szCs w:val="21"/>
              </w:rPr>
              <w:t>、乙</w:t>
            </w:r>
            <w:r>
              <w:rPr>
                <w:rFonts w:ascii="Times New Roman" w:hAnsi="Times New Roman"/>
                <w:color w:val="auto"/>
                <w:sz w:val="21"/>
                <w:szCs w:val="21"/>
                <w:vertAlign w:val="subscript"/>
              </w:rPr>
              <w:t>A</w:t>
            </w:r>
            <w:r>
              <w:rPr>
                <w:rFonts w:ascii="Times New Roman" w:hAnsi="宋体"/>
                <w:color w:val="auto"/>
                <w:sz w:val="21"/>
                <w:szCs w:val="21"/>
              </w:rPr>
              <w:t>类可燃液体；</w:t>
            </w:r>
          </w:p>
          <w:p w14:paraId="0D47FF1F">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z w:val="21"/>
                <w:szCs w:val="21"/>
              </w:rPr>
            </w:pPr>
            <w:r>
              <w:rPr>
                <w:rFonts w:ascii="Times New Roman" w:hAnsi="宋体"/>
                <w:color w:val="auto"/>
                <w:sz w:val="21"/>
                <w:szCs w:val="21"/>
              </w:rPr>
              <w:t>乙类固体；</w:t>
            </w:r>
          </w:p>
          <w:p w14:paraId="29BB0B94">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z w:val="21"/>
                <w:szCs w:val="21"/>
              </w:rPr>
            </w:pPr>
            <w:r>
              <w:rPr>
                <w:rFonts w:ascii="Times New Roman" w:hAnsi="宋体"/>
                <w:color w:val="auto"/>
                <w:sz w:val="21"/>
                <w:szCs w:val="21"/>
              </w:rPr>
              <w:t>高度有害介质</w:t>
            </w:r>
          </w:p>
        </w:tc>
        <w:tc>
          <w:tcPr>
            <w:tcW w:w="2229" w:type="dxa"/>
            <w:noWrap w:val="0"/>
            <w:vAlign w:val="center"/>
          </w:tcPr>
          <w:p w14:paraId="7BD1B782">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z w:val="21"/>
                <w:szCs w:val="21"/>
              </w:rPr>
            </w:pPr>
            <w:r>
              <w:rPr>
                <w:rFonts w:ascii="Times New Roman" w:hAnsi="宋体"/>
                <w:color w:val="auto"/>
                <w:sz w:val="21"/>
                <w:szCs w:val="21"/>
              </w:rPr>
              <w:t>乙</w:t>
            </w:r>
            <w:r>
              <w:rPr>
                <w:rFonts w:ascii="Times New Roman" w:hAnsi="Times New Roman"/>
                <w:color w:val="auto"/>
                <w:sz w:val="21"/>
                <w:szCs w:val="21"/>
                <w:vertAlign w:val="subscript"/>
              </w:rPr>
              <w:t>B</w:t>
            </w:r>
            <w:r>
              <w:rPr>
                <w:rFonts w:ascii="Times New Roman" w:hAnsi="宋体"/>
                <w:color w:val="auto"/>
                <w:sz w:val="21"/>
                <w:szCs w:val="21"/>
              </w:rPr>
              <w:t>、丙</w:t>
            </w:r>
            <w:r>
              <w:rPr>
                <w:rFonts w:ascii="Times New Roman" w:hAnsi="Times New Roman"/>
                <w:color w:val="auto"/>
                <w:sz w:val="21"/>
                <w:szCs w:val="21"/>
                <w:vertAlign w:val="subscript"/>
              </w:rPr>
              <w:t>A</w:t>
            </w:r>
            <w:r>
              <w:rPr>
                <w:rFonts w:ascii="Times New Roman" w:hAnsi="宋体"/>
                <w:color w:val="auto"/>
                <w:sz w:val="21"/>
                <w:szCs w:val="21"/>
              </w:rPr>
              <w:t>、丙</w:t>
            </w:r>
            <w:r>
              <w:rPr>
                <w:rFonts w:ascii="Times New Roman" w:hAnsi="Times New Roman"/>
                <w:color w:val="auto"/>
                <w:sz w:val="21"/>
                <w:szCs w:val="21"/>
                <w:vertAlign w:val="subscript"/>
              </w:rPr>
              <w:t>B</w:t>
            </w:r>
            <w:r>
              <w:rPr>
                <w:rFonts w:ascii="Times New Roman" w:hAnsi="宋体"/>
                <w:color w:val="auto"/>
                <w:sz w:val="21"/>
                <w:szCs w:val="21"/>
              </w:rPr>
              <w:t>类可燃液体；</w:t>
            </w:r>
          </w:p>
          <w:p w14:paraId="14299305">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z w:val="21"/>
                <w:szCs w:val="21"/>
              </w:rPr>
            </w:pPr>
            <w:r>
              <w:rPr>
                <w:rFonts w:ascii="Times New Roman" w:hAnsi="宋体"/>
                <w:color w:val="auto"/>
                <w:sz w:val="21"/>
                <w:szCs w:val="21"/>
              </w:rPr>
              <w:t>丙类固体；</w:t>
            </w:r>
          </w:p>
          <w:p w14:paraId="748D82A9">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z w:val="21"/>
                <w:szCs w:val="21"/>
              </w:rPr>
            </w:pPr>
            <w:r>
              <w:rPr>
                <w:rFonts w:ascii="Times New Roman" w:hAnsi="宋体"/>
                <w:color w:val="auto"/>
                <w:sz w:val="21"/>
                <w:szCs w:val="21"/>
              </w:rPr>
              <w:t>中、轻度有害介质</w:t>
            </w:r>
          </w:p>
        </w:tc>
        <w:tc>
          <w:tcPr>
            <w:tcW w:w="1857" w:type="dxa"/>
            <w:noWrap w:val="0"/>
            <w:vAlign w:val="center"/>
          </w:tcPr>
          <w:p w14:paraId="1B983B94">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z w:val="21"/>
                <w:szCs w:val="21"/>
              </w:rPr>
            </w:pPr>
            <w:r>
              <w:rPr>
                <w:rFonts w:ascii="Times New Roman" w:hAnsi="宋体"/>
                <w:color w:val="auto"/>
                <w:sz w:val="21"/>
                <w:szCs w:val="21"/>
              </w:rPr>
              <w:t>不属</w:t>
            </w:r>
            <w:r>
              <w:rPr>
                <w:rFonts w:ascii="Times New Roman" w:hAnsi="Times New Roman"/>
                <w:color w:val="auto"/>
                <w:sz w:val="21"/>
                <w:szCs w:val="21"/>
              </w:rPr>
              <w:t>A</w:t>
            </w:r>
            <w:r>
              <w:rPr>
                <w:rFonts w:ascii="Times New Roman" w:hAnsi="宋体"/>
                <w:color w:val="auto"/>
                <w:sz w:val="21"/>
                <w:szCs w:val="21"/>
              </w:rPr>
              <w:t>、</w:t>
            </w:r>
            <w:r>
              <w:rPr>
                <w:rFonts w:ascii="Times New Roman" w:hAnsi="Times New Roman"/>
                <w:color w:val="auto"/>
                <w:sz w:val="21"/>
                <w:szCs w:val="21"/>
              </w:rPr>
              <w:t>B</w:t>
            </w:r>
            <w:r>
              <w:rPr>
                <w:rFonts w:ascii="Times New Roman" w:hAnsi="宋体"/>
                <w:color w:val="auto"/>
                <w:sz w:val="21"/>
                <w:szCs w:val="21"/>
              </w:rPr>
              <w:t>、</w:t>
            </w:r>
            <w:r>
              <w:rPr>
                <w:rFonts w:ascii="Times New Roman" w:hAnsi="Times New Roman"/>
                <w:color w:val="auto"/>
                <w:sz w:val="21"/>
                <w:szCs w:val="21"/>
              </w:rPr>
              <w:t>C</w:t>
            </w:r>
            <w:r>
              <w:rPr>
                <w:rFonts w:ascii="Times New Roman" w:hAnsi="宋体"/>
                <w:color w:val="auto"/>
                <w:sz w:val="21"/>
                <w:szCs w:val="21"/>
              </w:rPr>
              <w:t>项之物质</w:t>
            </w:r>
          </w:p>
        </w:tc>
      </w:tr>
      <w:tr w14:paraId="43CC4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128" w:type="dxa"/>
            <w:noWrap w:val="0"/>
            <w:vAlign w:val="center"/>
          </w:tcPr>
          <w:p w14:paraId="10ADA06E">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color w:val="auto"/>
                <w:sz w:val="21"/>
                <w:szCs w:val="21"/>
              </w:rPr>
            </w:pPr>
            <w:r>
              <w:rPr>
                <w:rFonts w:ascii="Times New Roman" w:hAnsi="宋体"/>
                <w:color w:val="auto"/>
                <w:sz w:val="21"/>
                <w:szCs w:val="21"/>
              </w:rPr>
              <w:t>容量</w:t>
            </w:r>
          </w:p>
        </w:tc>
        <w:tc>
          <w:tcPr>
            <w:tcW w:w="1843" w:type="dxa"/>
            <w:noWrap w:val="0"/>
            <w:vAlign w:val="center"/>
          </w:tcPr>
          <w:p w14:paraId="5CF53F22">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z w:val="21"/>
                <w:szCs w:val="21"/>
              </w:rPr>
            </w:pPr>
            <w:r>
              <w:rPr>
                <w:rFonts w:ascii="Times New Roman" w:hAnsi="宋体"/>
                <w:color w:val="auto"/>
                <w:sz w:val="21"/>
                <w:szCs w:val="21"/>
              </w:rPr>
              <w:t>气体</w:t>
            </w:r>
            <w:r>
              <w:rPr>
                <w:rFonts w:ascii="Times New Roman" w:hAnsi="Times New Roman"/>
                <w:color w:val="auto"/>
                <w:sz w:val="21"/>
                <w:szCs w:val="21"/>
              </w:rPr>
              <w:t>1000m</w:t>
            </w:r>
            <w:r>
              <w:rPr>
                <w:rFonts w:ascii="Times New Roman" w:hAnsi="Times New Roman"/>
                <w:color w:val="auto"/>
                <w:sz w:val="21"/>
                <w:szCs w:val="21"/>
                <w:vertAlign w:val="superscript"/>
              </w:rPr>
              <w:t>3</w:t>
            </w:r>
            <w:r>
              <w:rPr>
                <w:rFonts w:ascii="Times New Roman" w:hAnsi="宋体"/>
                <w:color w:val="auto"/>
                <w:sz w:val="21"/>
                <w:szCs w:val="21"/>
              </w:rPr>
              <w:t>以上</w:t>
            </w:r>
          </w:p>
          <w:p w14:paraId="1AFB5B9D">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z w:val="21"/>
                <w:szCs w:val="21"/>
              </w:rPr>
            </w:pPr>
            <w:r>
              <w:rPr>
                <w:rFonts w:ascii="Times New Roman" w:hAnsi="宋体"/>
                <w:color w:val="auto"/>
                <w:sz w:val="21"/>
                <w:szCs w:val="21"/>
              </w:rPr>
              <w:t>液体</w:t>
            </w:r>
            <w:r>
              <w:rPr>
                <w:rFonts w:ascii="Times New Roman" w:hAnsi="Times New Roman"/>
                <w:color w:val="auto"/>
                <w:sz w:val="21"/>
                <w:szCs w:val="21"/>
              </w:rPr>
              <w:t>100m</w:t>
            </w:r>
            <w:r>
              <w:rPr>
                <w:rFonts w:ascii="Times New Roman" w:hAnsi="Times New Roman"/>
                <w:color w:val="auto"/>
                <w:sz w:val="21"/>
                <w:szCs w:val="21"/>
                <w:vertAlign w:val="superscript"/>
              </w:rPr>
              <w:t>3</w:t>
            </w:r>
            <w:r>
              <w:rPr>
                <w:rFonts w:ascii="Times New Roman" w:hAnsi="宋体"/>
                <w:color w:val="auto"/>
                <w:sz w:val="21"/>
                <w:szCs w:val="21"/>
              </w:rPr>
              <w:t>以上</w:t>
            </w:r>
          </w:p>
        </w:tc>
        <w:tc>
          <w:tcPr>
            <w:tcW w:w="2229" w:type="dxa"/>
            <w:noWrap w:val="0"/>
            <w:vAlign w:val="center"/>
          </w:tcPr>
          <w:p w14:paraId="3DD063A5">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z w:val="21"/>
                <w:szCs w:val="21"/>
              </w:rPr>
            </w:pPr>
            <w:r>
              <w:rPr>
                <w:rFonts w:ascii="Times New Roman" w:hAnsi="宋体"/>
                <w:color w:val="auto"/>
                <w:sz w:val="21"/>
                <w:szCs w:val="21"/>
              </w:rPr>
              <w:t>气体</w:t>
            </w:r>
            <w:r>
              <w:rPr>
                <w:rFonts w:ascii="Times New Roman" w:hAnsi="Times New Roman"/>
                <w:color w:val="auto"/>
                <w:sz w:val="21"/>
                <w:szCs w:val="21"/>
              </w:rPr>
              <w:t>500~1000 m</w:t>
            </w:r>
            <w:r>
              <w:rPr>
                <w:rFonts w:ascii="Times New Roman" w:hAnsi="Times New Roman"/>
                <w:color w:val="auto"/>
                <w:sz w:val="21"/>
                <w:szCs w:val="21"/>
                <w:vertAlign w:val="superscript"/>
              </w:rPr>
              <w:t>3</w:t>
            </w:r>
          </w:p>
          <w:p w14:paraId="3A24F7C0">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z w:val="21"/>
                <w:szCs w:val="21"/>
              </w:rPr>
            </w:pPr>
            <w:r>
              <w:rPr>
                <w:rFonts w:ascii="Times New Roman" w:hAnsi="宋体"/>
                <w:color w:val="auto"/>
                <w:sz w:val="21"/>
                <w:szCs w:val="21"/>
              </w:rPr>
              <w:t>液体</w:t>
            </w:r>
            <w:r>
              <w:rPr>
                <w:rFonts w:ascii="Times New Roman" w:hAnsi="Times New Roman"/>
                <w:color w:val="auto"/>
                <w:sz w:val="21"/>
                <w:szCs w:val="21"/>
              </w:rPr>
              <w:t>50~100m</w:t>
            </w:r>
            <w:r>
              <w:rPr>
                <w:rFonts w:ascii="Times New Roman" w:hAnsi="Times New Roman"/>
                <w:color w:val="auto"/>
                <w:sz w:val="21"/>
                <w:szCs w:val="21"/>
                <w:vertAlign w:val="superscript"/>
              </w:rPr>
              <w:t>3</w:t>
            </w:r>
          </w:p>
        </w:tc>
        <w:tc>
          <w:tcPr>
            <w:tcW w:w="2229" w:type="dxa"/>
            <w:noWrap w:val="0"/>
            <w:vAlign w:val="center"/>
          </w:tcPr>
          <w:p w14:paraId="67F14019">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z w:val="21"/>
                <w:szCs w:val="21"/>
              </w:rPr>
            </w:pPr>
            <w:r>
              <w:rPr>
                <w:rFonts w:ascii="Times New Roman" w:hAnsi="宋体"/>
                <w:color w:val="auto"/>
                <w:sz w:val="21"/>
                <w:szCs w:val="21"/>
              </w:rPr>
              <w:t>气体</w:t>
            </w:r>
            <w:r>
              <w:rPr>
                <w:rFonts w:ascii="Times New Roman" w:hAnsi="Times New Roman"/>
                <w:color w:val="auto"/>
                <w:sz w:val="21"/>
                <w:szCs w:val="21"/>
              </w:rPr>
              <w:t>100~500 m</w:t>
            </w:r>
            <w:r>
              <w:rPr>
                <w:rFonts w:ascii="Times New Roman" w:hAnsi="Times New Roman"/>
                <w:color w:val="auto"/>
                <w:sz w:val="21"/>
                <w:szCs w:val="21"/>
                <w:vertAlign w:val="superscript"/>
              </w:rPr>
              <w:t>3</w:t>
            </w:r>
          </w:p>
          <w:p w14:paraId="0BC34616">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z w:val="21"/>
                <w:szCs w:val="21"/>
              </w:rPr>
            </w:pPr>
            <w:r>
              <w:rPr>
                <w:rFonts w:ascii="Times New Roman" w:hAnsi="宋体"/>
                <w:color w:val="auto"/>
                <w:sz w:val="21"/>
                <w:szCs w:val="21"/>
              </w:rPr>
              <w:t>液体</w:t>
            </w:r>
            <w:r>
              <w:rPr>
                <w:rFonts w:ascii="Times New Roman" w:hAnsi="Times New Roman"/>
                <w:color w:val="auto"/>
                <w:sz w:val="21"/>
                <w:szCs w:val="21"/>
              </w:rPr>
              <w:t>10~50m</w:t>
            </w:r>
            <w:r>
              <w:rPr>
                <w:rFonts w:ascii="Times New Roman" w:hAnsi="Times New Roman"/>
                <w:color w:val="auto"/>
                <w:sz w:val="21"/>
                <w:szCs w:val="21"/>
                <w:vertAlign w:val="superscript"/>
              </w:rPr>
              <w:t>3</w:t>
            </w:r>
          </w:p>
        </w:tc>
        <w:tc>
          <w:tcPr>
            <w:tcW w:w="1857" w:type="dxa"/>
            <w:noWrap w:val="0"/>
            <w:vAlign w:val="center"/>
          </w:tcPr>
          <w:p w14:paraId="03F52A58">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z w:val="21"/>
                <w:szCs w:val="21"/>
              </w:rPr>
            </w:pPr>
            <w:r>
              <w:rPr>
                <w:rFonts w:ascii="Times New Roman" w:hAnsi="宋体"/>
                <w:color w:val="auto"/>
                <w:sz w:val="21"/>
                <w:szCs w:val="21"/>
              </w:rPr>
              <w:t>气体＜</w:t>
            </w:r>
            <w:r>
              <w:rPr>
                <w:rFonts w:ascii="Times New Roman" w:hAnsi="Times New Roman"/>
                <w:color w:val="auto"/>
                <w:sz w:val="21"/>
                <w:szCs w:val="21"/>
              </w:rPr>
              <w:t>100 m</w:t>
            </w:r>
            <w:r>
              <w:rPr>
                <w:rFonts w:ascii="Times New Roman" w:hAnsi="Times New Roman"/>
                <w:color w:val="auto"/>
                <w:sz w:val="21"/>
                <w:szCs w:val="21"/>
                <w:vertAlign w:val="superscript"/>
              </w:rPr>
              <w:t>3</w:t>
            </w:r>
          </w:p>
          <w:p w14:paraId="136787D2">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z w:val="21"/>
                <w:szCs w:val="21"/>
              </w:rPr>
            </w:pPr>
            <w:r>
              <w:rPr>
                <w:rFonts w:ascii="Times New Roman" w:hAnsi="宋体"/>
                <w:color w:val="auto"/>
                <w:sz w:val="21"/>
                <w:szCs w:val="21"/>
              </w:rPr>
              <w:t>液体＜</w:t>
            </w:r>
            <w:r>
              <w:rPr>
                <w:rFonts w:ascii="Times New Roman" w:hAnsi="Times New Roman"/>
                <w:color w:val="auto"/>
                <w:sz w:val="21"/>
                <w:szCs w:val="21"/>
              </w:rPr>
              <w:t>10m</w:t>
            </w:r>
            <w:r>
              <w:rPr>
                <w:rFonts w:ascii="Times New Roman" w:hAnsi="Times New Roman"/>
                <w:color w:val="auto"/>
                <w:sz w:val="21"/>
                <w:szCs w:val="21"/>
                <w:vertAlign w:val="superscript"/>
              </w:rPr>
              <w:t>3</w:t>
            </w:r>
          </w:p>
        </w:tc>
      </w:tr>
      <w:tr w14:paraId="44482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 w:hRule="atLeast"/>
          <w:jc w:val="center"/>
        </w:trPr>
        <w:tc>
          <w:tcPr>
            <w:tcW w:w="1128" w:type="dxa"/>
            <w:noWrap w:val="0"/>
            <w:vAlign w:val="center"/>
          </w:tcPr>
          <w:p w14:paraId="0A131F20">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color w:val="auto"/>
                <w:sz w:val="21"/>
                <w:szCs w:val="21"/>
              </w:rPr>
            </w:pPr>
            <w:r>
              <w:rPr>
                <w:rFonts w:ascii="Times New Roman" w:hAnsi="宋体"/>
                <w:color w:val="auto"/>
                <w:sz w:val="21"/>
                <w:szCs w:val="21"/>
              </w:rPr>
              <w:t>温度</w:t>
            </w:r>
          </w:p>
        </w:tc>
        <w:tc>
          <w:tcPr>
            <w:tcW w:w="1843" w:type="dxa"/>
            <w:noWrap w:val="0"/>
            <w:vAlign w:val="center"/>
          </w:tcPr>
          <w:p w14:paraId="6D1A488D">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z w:val="21"/>
                <w:szCs w:val="21"/>
              </w:rPr>
            </w:pPr>
            <w:r>
              <w:rPr>
                <w:rFonts w:ascii="Times New Roman" w:hAnsi="Times New Roman"/>
                <w:color w:val="auto"/>
                <w:sz w:val="21"/>
                <w:szCs w:val="21"/>
              </w:rPr>
              <w:t>1000</w:t>
            </w:r>
            <w:r>
              <w:rPr>
                <w:rFonts w:ascii="宋体" w:hAnsi="宋体"/>
                <w:color w:val="auto"/>
                <w:sz w:val="21"/>
                <w:szCs w:val="21"/>
              </w:rPr>
              <w:t>℃</w:t>
            </w:r>
            <w:r>
              <w:rPr>
                <w:rFonts w:ascii="Times New Roman" w:hAnsi="宋体"/>
                <w:color w:val="auto"/>
                <w:sz w:val="21"/>
                <w:szCs w:val="21"/>
              </w:rPr>
              <w:t>以上使用，其操作温度在燃点以上</w:t>
            </w:r>
          </w:p>
        </w:tc>
        <w:tc>
          <w:tcPr>
            <w:tcW w:w="2229" w:type="dxa"/>
            <w:noWrap w:val="0"/>
            <w:vAlign w:val="center"/>
          </w:tcPr>
          <w:p w14:paraId="7AD7ED8A">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pacing w:val="-8"/>
                <w:sz w:val="21"/>
                <w:szCs w:val="21"/>
              </w:rPr>
            </w:pPr>
            <w:r>
              <w:rPr>
                <w:rFonts w:ascii="Times New Roman" w:hAnsi="Times New Roman"/>
                <w:color w:val="auto"/>
                <w:spacing w:val="-8"/>
                <w:sz w:val="21"/>
                <w:szCs w:val="21"/>
              </w:rPr>
              <w:t>1000</w:t>
            </w:r>
            <w:r>
              <w:rPr>
                <w:rFonts w:ascii="宋体" w:hAnsi="宋体"/>
                <w:color w:val="auto"/>
                <w:spacing w:val="-8"/>
                <w:sz w:val="21"/>
                <w:szCs w:val="21"/>
              </w:rPr>
              <w:t>℃</w:t>
            </w:r>
            <w:r>
              <w:rPr>
                <w:rFonts w:ascii="Times New Roman" w:hAnsi="宋体"/>
                <w:color w:val="auto"/>
                <w:spacing w:val="-8"/>
                <w:sz w:val="21"/>
                <w:szCs w:val="21"/>
              </w:rPr>
              <w:t>以上使用，但操作温度在燃点以下；</w:t>
            </w:r>
          </w:p>
          <w:p w14:paraId="476F415F">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pacing w:val="-8"/>
                <w:sz w:val="21"/>
                <w:szCs w:val="21"/>
              </w:rPr>
            </w:pPr>
            <w:r>
              <w:rPr>
                <w:rFonts w:ascii="Times New Roman" w:hAnsi="宋体"/>
                <w:color w:val="auto"/>
                <w:spacing w:val="-8"/>
                <w:sz w:val="21"/>
                <w:szCs w:val="21"/>
              </w:rPr>
              <w:t>在</w:t>
            </w:r>
            <w:r>
              <w:rPr>
                <w:rFonts w:ascii="Times New Roman" w:hAnsi="Times New Roman"/>
                <w:color w:val="auto"/>
                <w:spacing w:val="-8"/>
                <w:sz w:val="21"/>
                <w:szCs w:val="21"/>
              </w:rPr>
              <w:t>250~1000</w:t>
            </w:r>
            <w:r>
              <w:rPr>
                <w:rFonts w:ascii="宋体" w:hAnsi="宋体"/>
                <w:color w:val="auto"/>
                <w:spacing w:val="-8"/>
                <w:sz w:val="21"/>
                <w:szCs w:val="21"/>
              </w:rPr>
              <w:t>℃</w:t>
            </w:r>
            <w:r>
              <w:rPr>
                <w:rFonts w:ascii="Times New Roman" w:hAnsi="宋体"/>
                <w:color w:val="auto"/>
                <w:spacing w:val="-8"/>
                <w:sz w:val="21"/>
                <w:szCs w:val="21"/>
              </w:rPr>
              <w:t>使用，其操作温度在燃点以上</w:t>
            </w:r>
          </w:p>
        </w:tc>
        <w:tc>
          <w:tcPr>
            <w:tcW w:w="2229" w:type="dxa"/>
            <w:noWrap w:val="0"/>
            <w:vAlign w:val="center"/>
          </w:tcPr>
          <w:p w14:paraId="244DFDA4">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pacing w:val="-8"/>
                <w:sz w:val="21"/>
                <w:szCs w:val="21"/>
              </w:rPr>
            </w:pPr>
            <w:r>
              <w:rPr>
                <w:rFonts w:ascii="Times New Roman" w:hAnsi="宋体"/>
                <w:color w:val="auto"/>
                <w:spacing w:val="-8"/>
                <w:sz w:val="21"/>
                <w:szCs w:val="21"/>
              </w:rPr>
              <w:t>在</w:t>
            </w:r>
            <w:r>
              <w:rPr>
                <w:rFonts w:ascii="Times New Roman" w:hAnsi="Times New Roman"/>
                <w:color w:val="auto"/>
                <w:spacing w:val="-8"/>
                <w:sz w:val="21"/>
                <w:szCs w:val="21"/>
              </w:rPr>
              <w:t>250~1000</w:t>
            </w:r>
            <w:r>
              <w:rPr>
                <w:rFonts w:ascii="宋体" w:hAnsi="宋体"/>
                <w:color w:val="auto"/>
                <w:spacing w:val="-8"/>
                <w:sz w:val="21"/>
                <w:szCs w:val="21"/>
              </w:rPr>
              <w:t>℃</w:t>
            </w:r>
            <w:r>
              <w:rPr>
                <w:rFonts w:ascii="Times New Roman" w:hAnsi="宋体"/>
                <w:color w:val="auto"/>
                <w:spacing w:val="-8"/>
                <w:sz w:val="21"/>
                <w:szCs w:val="21"/>
              </w:rPr>
              <w:t>使用，但操作温度在燃点以下；</w:t>
            </w:r>
          </w:p>
          <w:p w14:paraId="00158484">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pacing w:val="-8"/>
                <w:sz w:val="21"/>
                <w:szCs w:val="21"/>
              </w:rPr>
            </w:pPr>
            <w:r>
              <w:rPr>
                <w:rFonts w:ascii="Times New Roman" w:hAnsi="宋体"/>
                <w:color w:val="auto"/>
                <w:spacing w:val="-8"/>
                <w:sz w:val="21"/>
                <w:szCs w:val="21"/>
              </w:rPr>
              <w:t>在低于在</w:t>
            </w:r>
            <w:r>
              <w:rPr>
                <w:rFonts w:ascii="Times New Roman" w:hAnsi="Times New Roman"/>
                <w:color w:val="auto"/>
                <w:spacing w:val="-8"/>
                <w:sz w:val="21"/>
                <w:szCs w:val="21"/>
              </w:rPr>
              <w:t>250</w:t>
            </w:r>
            <w:r>
              <w:rPr>
                <w:rFonts w:ascii="宋体" w:hAnsi="宋体"/>
                <w:color w:val="auto"/>
                <w:spacing w:val="-8"/>
                <w:sz w:val="21"/>
                <w:szCs w:val="21"/>
              </w:rPr>
              <w:t>℃</w:t>
            </w:r>
            <w:r>
              <w:rPr>
                <w:rFonts w:ascii="Times New Roman" w:hAnsi="宋体"/>
                <w:color w:val="auto"/>
                <w:spacing w:val="-8"/>
                <w:sz w:val="21"/>
                <w:szCs w:val="21"/>
              </w:rPr>
              <w:t>使用，其操作温度在燃点以上</w:t>
            </w:r>
          </w:p>
        </w:tc>
        <w:tc>
          <w:tcPr>
            <w:tcW w:w="1857" w:type="dxa"/>
            <w:noWrap w:val="0"/>
            <w:vAlign w:val="center"/>
          </w:tcPr>
          <w:p w14:paraId="7C036254">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z w:val="21"/>
                <w:szCs w:val="21"/>
              </w:rPr>
            </w:pPr>
            <w:r>
              <w:rPr>
                <w:rFonts w:ascii="Times New Roman" w:hAnsi="宋体"/>
                <w:color w:val="auto"/>
                <w:sz w:val="21"/>
                <w:szCs w:val="21"/>
              </w:rPr>
              <w:t>在低于在</w:t>
            </w:r>
            <w:r>
              <w:rPr>
                <w:rFonts w:ascii="Times New Roman" w:hAnsi="Times New Roman"/>
                <w:color w:val="auto"/>
                <w:sz w:val="21"/>
                <w:szCs w:val="21"/>
              </w:rPr>
              <w:t>250</w:t>
            </w:r>
            <w:r>
              <w:rPr>
                <w:rFonts w:ascii="宋体" w:hAnsi="宋体"/>
                <w:color w:val="auto"/>
                <w:sz w:val="21"/>
                <w:szCs w:val="21"/>
              </w:rPr>
              <w:t>℃</w:t>
            </w:r>
            <w:r>
              <w:rPr>
                <w:rFonts w:ascii="Times New Roman" w:hAnsi="宋体"/>
                <w:color w:val="auto"/>
                <w:sz w:val="21"/>
                <w:szCs w:val="21"/>
              </w:rPr>
              <w:t>使用，其操作温度在燃点以下</w:t>
            </w:r>
          </w:p>
        </w:tc>
      </w:tr>
      <w:tr w14:paraId="310BF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1128" w:type="dxa"/>
            <w:noWrap w:val="0"/>
            <w:vAlign w:val="center"/>
          </w:tcPr>
          <w:p w14:paraId="6D9234ED">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color w:val="auto"/>
                <w:sz w:val="21"/>
                <w:szCs w:val="21"/>
              </w:rPr>
            </w:pPr>
            <w:r>
              <w:rPr>
                <w:rFonts w:ascii="Times New Roman" w:hAnsi="宋体"/>
                <w:color w:val="auto"/>
                <w:sz w:val="21"/>
                <w:szCs w:val="21"/>
              </w:rPr>
              <w:t>压力</w:t>
            </w:r>
          </w:p>
        </w:tc>
        <w:tc>
          <w:tcPr>
            <w:tcW w:w="1843" w:type="dxa"/>
            <w:noWrap w:val="0"/>
            <w:vAlign w:val="center"/>
          </w:tcPr>
          <w:p w14:paraId="2CF5E967">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color w:val="auto"/>
                <w:sz w:val="21"/>
                <w:szCs w:val="21"/>
              </w:rPr>
            </w:pPr>
            <w:r>
              <w:rPr>
                <w:rFonts w:ascii="Times New Roman" w:hAnsi="Times New Roman"/>
                <w:color w:val="auto"/>
                <w:sz w:val="21"/>
                <w:szCs w:val="21"/>
              </w:rPr>
              <w:t>100MPa</w:t>
            </w:r>
          </w:p>
        </w:tc>
        <w:tc>
          <w:tcPr>
            <w:tcW w:w="2229" w:type="dxa"/>
            <w:noWrap w:val="0"/>
            <w:vAlign w:val="center"/>
          </w:tcPr>
          <w:p w14:paraId="39C648CD">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color w:val="auto"/>
                <w:sz w:val="21"/>
                <w:szCs w:val="21"/>
              </w:rPr>
            </w:pPr>
            <w:r>
              <w:rPr>
                <w:rFonts w:ascii="Times New Roman" w:hAnsi="Times New Roman"/>
                <w:color w:val="auto"/>
                <w:sz w:val="21"/>
                <w:szCs w:val="21"/>
              </w:rPr>
              <w:t>20~100MPa</w:t>
            </w:r>
          </w:p>
        </w:tc>
        <w:tc>
          <w:tcPr>
            <w:tcW w:w="2229" w:type="dxa"/>
            <w:noWrap w:val="0"/>
            <w:vAlign w:val="center"/>
          </w:tcPr>
          <w:p w14:paraId="2018E9F1">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color w:val="auto"/>
                <w:sz w:val="21"/>
                <w:szCs w:val="21"/>
              </w:rPr>
            </w:pPr>
            <w:r>
              <w:rPr>
                <w:rFonts w:ascii="Times New Roman" w:hAnsi="Times New Roman"/>
                <w:color w:val="auto"/>
                <w:sz w:val="21"/>
                <w:szCs w:val="21"/>
              </w:rPr>
              <w:t>1~20MPa</w:t>
            </w:r>
          </w:p>
        </w:tc>
        <w:tc>
          <w:tcPr>
            <w:tcW w:w="1857" w:type="dxa"/>
            <w:noWrap w:val="0"/>
            <w:vAlign w:val="center"/>
          </w:tcPr>
          <w:p w14:paraId="0CD656BC">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color w:val="auto"/>
                <w:sz w:val="21"/>
                <w:szCs w:val="21"/>
              </w:rPr>
            </w:pPr>
            <w:r>
              <w:rPr>
                <w:rFonts w:ascii="Times New Roman" w:hAnsi="Times New Roman"/>
                <w:color w:val="auto"/>
                <w:sz w:val="21"/>
                <w:szCs w:val="21"/>
              </w:rPr>
              <w:t>1MPa</w:t>
            </w:r>
            <w:r>
              <w:rPr>
                <w:rFonts w:ascii="Times New Roman" w:hAnsi="宋体"/>
                <w:color w:val="auto"/>
                <w:sz w:val="21"/>
                <w:szCs w:val="21"/>
              </w:rPr>
              <w:t>以下</w:t>
            </w:r>
          </w:p>
        </w:tc>
      </w:tr>
      <w:tr w14:paraId="44FD1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 w:hRule="atLeast"/>
          <w:jc w:val="center"/>
        </w:trPr>
        <w:tc>
          <w:tcPr>
            <w:tcW w:w="1128" w:type="dxa"/>
            <w:noWrap w:val="0"/>
            <w:vAlign w:val="center"/>
          </w:tcPr>
          <w:p w14:paraId="1CEC1118">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color w:val="auto"/>
                <w:sz w:val="21"/>
                <w:szCs w:val="21"/>
              </w:rPr>
            </w:pPr>
            <w:r>
              <w:rPr>
                <w:rFonts w:ascii="Times New Roman" w:hAnsi="宋体"/>
                <w:color w:val="auto"/>
                <w:sz w:val="21"/>
                <w:szCs w:val="21"/>
              </w:rPr>
              <w:t>操作</w:t>
            </w:r>
          </w:p>
        </w:tc>
        <w:tc>
          <w:tcPr>
            <w:tcW w:w="1843" w:type="dxa"/>
            <w:noWrap w:val="0"/>
            <w:vAlign w:val="center"/>
          </w:tcPr>
          <w:p w14:paraId="6C79586F">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z w:val="21"/>
                <w:szCs w:val="21"/>
              </w:rPr>
            </w:pPr>
            <w:r>
              <w:rPr>
                <w:rFonts w:ascii="Times New Roman" w:hAnsi="宋体"/>
                <w:color w:val="auto"/>
                <w:sz w:val="21"/>
                <w:szCs w:val="21"/>
              </w:rPr>
              <w:t>临界放热和特别剧烈的反应操作</w:t>
            </w:r>
          </w:p>
          <w:p w14:paraId="465854C5">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z w:val="21"/>
                <w:szCs w:val="21"/>
              </w:rPr>
            </w:pPr>
            <w:r>
              <w:rPr>
                <w:rFonts w:ascii="Times New Roman" w:hAnsi="宋体"/>
                <w:color w:val="auto"/>
                <w:sz w:val="21"/>
                <w:szCs w:val="21"/>
              </w:rPr>
              <w:t>在爆炸极限范围内或其附近操作</w:t>
            </w:r>
          </w:p>
        </w:tc>
        <w:tc>
          <w:tcPr>
            <w:tcW w:w="2229" w:type="dxa"/>
            <w:noWrap w:val="0"/>
            <w:vAlign w:val="center"/>
          </w:tcPr>
          <w:p w14:paraId="1B37B77B">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z w:val="21"/>
                <w:szCs w:val="21"/>
              </w:rPr>
            </w:pPr>
            <w:r>
              <w:rPr>
                <w:rFonts w:ascii="Times New Roman" w:hAnsi="宋体"/>
                <w:color w:val="auto"/>
                <w:sz w:val="21"/>
                <w:szCs w:val="21"/>
              </w:rPr>
              <w:t>中等放热反应；</w:t>
            </w:r>
          </w:p>
          <w:p w14:paraId="7E571F0F">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z w:val="21"/>
                <w:szCs w:val="21"/>
              </w:rPr>
            </w:pPr>
            <w:r>
              <w:rPr>
                <w:rFonts w:ascii="Times New Roman" w:hAnsi="宋体"/>
                <w:color w:val="auto"/>
                <w:spacing w:val="-16"/>
                <w:sz w:val="21"/>
                <w:szCs w:val="21"/>
              </w:rPr>
              <w:t>系统进入空气或不纯物质，可能发生危险的操作</w:t>
            </w:r>
            <w:r>
              <w:rPr>
                <w:rFonts w:ascii="Times New Roman" w:hAnsi="宋体"/>
                <w:color w:val="auto"/>
                <w:sz w:val="21"/>
                <w:szCs w:val="21"/>
              </w:rPr>
              <w:t>；</w:t>
            </w:r>
          </w:p>
          <w:p w14:paraId="75BFDC9B">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z w:val="21"/>
                <w:szCs w:val="21"/>
              </w:rPr>
            </w:pPr>
            <w:r>
              <w:rPr>
                <w:rFonts w:ascii="Times New Roman" w:hAnsi="宋体"/>
                <w:color w:val="auto"/>
                <w:sz w:val="21"/>
                <w:szCs w:val="21"/>
              </w:rPr>
              <w:t>使用粉状或雾状物质，有可能发生粉尘爆炸的操作</w:t>
            </w:r>
          </w:p>
          <w:p w14:paraId="6AF165DC">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z w:val="21"/>
                <w:szCs w:val="21"/>
              </w:rPr>
            </w:pPr>
            <w:r>
              <w:rPr>
                <w:rFonts w:ascii="Times New Roman" w:hAnsi="宋体"/>
                <w:color w:val="auto"/>
                <w:sz w:val="21"/>
                <w:szCs w:val="21"/>
              </w:rPr>
              <w:t>单批式操作</w:t>
            </w:r>
          </w:p>
        </w:tc>
        <w:tc>
          <w:tcPr>
            <w:tcW w:w="2229" w:type="dxa"/>
            <w:noWrap w:val="0"/>
            <w:vAlign w:val="center"/>
          </w:tcPr>
          <w:p w14:paraId="61D05A90">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z w:val="21"/>
                <w:szCs w:val="21"/>
              </w:rPr>
            </w:pPr>
            <w:r>
              <w:rPr>
                <w:rFonts w:ascii="Times New Roman" w:hAnsi="宋体"/>
                <w:color w:val="auto"/>
                <w:sz w:val="21"/>
                <w:szCs w:val="21"/>
              </w:rPr>
              <w:t>轻微放热反应；</w:t>
            </w:r>
          </w:p>
          <w:p w14:paraId="3C20D9EC">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z w:val="21"/>
                <w:szCs w:val="21"/>
              </w:rPr>
            </w:pPr>
            <w:r>
              <w:rPr>
                <w:rFonts w:ascii="Times New Roman" w:hAnsi="宋体"/>
                <w:color w:val="auto"/>
                <w:sz w:val="21"/>
                <w:szCs w:val="21"/>
              </w:rPr>
              <w:t>在精制过程中伴有化学反应；</w:t>
            </w:r>
          </w:p>
          <w:p w14:paraId="21695DEB">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z w:val="21"/>
                <w:szCs w:val="21"/>
              </w:rPr>
            </w:pPr>
            <w:r>
              <w:rPr>
                <w:rFonts w:ascii="Times New Roman" w:hAnsi="宋体"/>
                <w:color w:val="auto"/>
                <w:sz w:val="21"/>
                <w:szCs w:val="21"/>
              </w:rPr>
              <w:t>单批式操作，但开始使用机械进行程序操作；</w:t>
            </w:r>
          </w:p>
          <w:p w14:paraId="4371BD76">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z w:val="21"/>
                <w:szCs w:val="21"/>
              </w:rPr>
            </w:pPr>
            <w:r>
              <w:rPr>
                <w:rFonts w:ascii="Times New Roman" w:hAnsi="宋体"/>
                <w:color w:val="auto"/>
                <w:sz w:val="21"/>
                <w:szCs w:val="21"/>
              </w:rPr>
              <w:t>有一定危险的操作</w:t>
            </w:r>
          </w:p>
        </w:tc>
        <w:tc>
          <w:tcPr>
            <w:tcW w:w="1857" w:type="dxa"/>
            <w:noWrap w:val="0"/>
            <w:vAlign w:val="center"/>
          </w:tcPr>
          <w:p w14:paraId="3D9E6EA6">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color w:val="auto"/>
                <w:sz w:val="21"/>
                <w:szCs w:val="21"/>
              </w:rPr>
            </w:pPr>
            <w:r>
              <w:rPr>
                <w:rFonts w:ascii="Times New Roman" w:hAnsi="宋体"/>
                <w:color w:val="auto"/>
                <w:sz w:val="21"/>
                <w:szCs w:val="21"/>
              </w:rPr>
              <w:t>无危险的操作</w:t>
            </w:r>
          </w:p>
        </w:tc>
      </w:tr>
    </w:tbl>
    <w:p w14:paraId="177508DC">
      <w:pPr>
        <w:bidi w:val="0"/>
        <w:rPr>
          <w:rFonts w:hint="default"/>
          <w:lang w:val="en-US" w:eastAsia="zh-CN"/>
        </w:rPr>
      </w:pPr>
      <w:r>
        <w:rPr>
          <w:rFonts w:hint="default"/>
          <w:lang w:val="en-US" w:eastAsia="zh-CN"/>
        </w:rPr>
        <w:t>危险度分级见表5.2-2。</w:t>
      </w:r>
    </w:p>
    <w:p w14:paraId="323CC604">
      <w:pPr>
        <w:bidi w:val="0"/>
        <w:ind w:left="0" w:leftChars="0" w:firstLine="0" w:firstLineChars="0"/>
        <w:jc w:val="center"/>
        <w:rPr>
          <w:rFonts w:hint="default"/>
          <w:lang w:val="en-US" w:eastAsia="zh-CN"/>
        </w:rPr>
      </w:pPr>
      <w:r>
        <w:rPr>
          <w:rFonts w:hint="default"/>
          <w:lang w:val="en-US" w:eastAsia="zh-CN"/>
        </w:rPr>
        <w:t>表5.2-2 危险度分级表</w:t>
      </w:r>
    </w:p>
    <w:tbl>
      <w:tblPr>
        <w:tblStyle w:val="20"/>
        <w:tblW w:w="0" w:type="auto"/>
        <w:jc w:val="center"/>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37"/>
        <w:gridCol w:w="2351"/>
        <w:gridCol w:w="2352"/>
        <w:gridCol w:w="2352"/>
      </w:tblGrid>
      <w:tr w14:paraId="18DF4D95">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jc w:val="center"/>
        </w:trPr>
        <w:tc>
          <w:tcPr>
            <w:tcW w:w="2237" w:type="dxa"/>
            <w:tcBorders>
              <w:left w:val="single" w:color="auto" w:sz="4" w:space="0"/>
              <w:bottom w:val="single" w:color="auto" w:sz="4" w:space="0"/>
              <w:right w:val="single" w:color="auto" w:sz="4" w:space="0"/>
            </w:tcBorders>
            <w:noWrap w:val="0"/>
            <w:vAlign w:val="center"/>
          </w:tcPr>
          <w:p w14:paraId="78DAAC5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
                <w:bCs/>
                <w:color w:val="auto"/>
                <w:sz w:val="21"/>
                <w:szCs w:val="21"/>
              </w:rPr>
            </w:pPr>
            <w:r>
              <w:rPr>
                <w:rFonts w:ascii="Times New Roman" w:hAnsi="宋体"/>
                <w:b/>
                <w:bCs/>
                <w:color w:val="auto"/>
                <w:sz w:val="21"/>
                <w:szCs w:val="21"/>
              </w:rPr>
              <w:t>总分值</w:t>
            </w:r>
          </w:p>
        </w:tc>
        <w:tc>
          <w:tcPr>
            <w:tcW w:w="2351" w:type="dxa"/>
            <w:tcBorders>
              <w:left w:val="single" w:color="auto" w:sz="4" w:space="0"/>
              <w:bottom w:val="single" w:color="auto" w:sz="4" w:space="0"/>
              <w:right w:val="single" w:color="auto" w:sz="4" w:space="0"/>
            </w:tcBorders>
            <w:noWrap w:val="0"/>
            <w:vAlign w:val="center"/>
          </w:tcPr>
          <w:p w14:paraId="6756409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
                <w:bCs/>
                <w:color w:val="auto"/>
                <w:sz w:val="21"/>
                <w:szCs w:val="21"/>
              </w:rPr>
            </w:pPr>
            <w:r>
              <w:rPr>
                <w:rFonts w:ascii="Times New Roman" w:hAnsi="Times New Roman"/>
                <w:b/>
                <w:bCs/>
                <w:color w:val="auto"/>
                <w:sz w:val="21"/>
                <w:szCs w:val="21"/>
              </w:rPr>
              <w:t>≥16</w:t>
            </w:r>
            <w:r>
              <w:rPr>
                <w:rFonts w:ascii="Times New Roman" w:hAnsi="宋体"/>
                <w:b/>
                <w:bCs/>
                <w:color w:val="auto"/>
                <w:sz w:val="21"/>
                <w:szCs w:val="21"/>
              </w:rPr>
              <w:t>分</w:t>
            </w:r>
          </w:p>
        </w:tc>
        <w:tc>
          <w:tcPr>
            <w:tcW w:w="2352" w:type="dxa"/>
            <w:tcBorders>
              <w:left w:val="single" w:color="auto" w:sz="4" w:space="0"/>
              <w:bottom w:val="single" w:color="auto" w:sz="4" w:space="0"/>
              <w:right w:val="single" w:color="auto" w:sz="4" w:space="0"/>
            </w:tcBorders>
            <w:noWrap w:val="0"/>
            <w:vAlign w:val="center"/>
          </w:tcPr>
          <w:p w14:paraId="1399056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
                <w:bCs/>
                <w:color w:val="auto"/>
                <w:sz w:val="21"/>
                <w:szCs w:val="21"/>
              </w:rPr>
            </w:pPr>
            <w:r>
              <w:rPr>
                <w:rFonts w:ascii="Times New Roman" w:hAnsi="Times New Roman"/>
                <w:b/>
                <w:bCs/>
                <w:color w:val="auto"/>
                <w:sz w:val="21"/>
                <w:szCs w:val="21"/>
              </w:rPr>
              <w:t>11~15</w:t>
            </w:r>
            <w:r>
              <w:rPr>
                <w:rFonts w:ascii="Times New Roman" w:hAnsi="宋体"/>
                <w:b/>
                <w:bCs/>
                <w:color w:val="auto"/>
                <w:sz w:val="21"/>
                <w:szCs w:val="21"/>
              </w:rPr>
              <w:t>分</w:t>
            </w:r>
          </w:p>
        </w:tc>
        <w:tc>
          <w:tcPr>
            <w:tcW w:w="2352" w:type="dxa"/>
            <w:tcBorders>
              <w:left w:val="single" w:color="auto" w:sz="4" w:space="0"/>
              <w:bottom w:val="single" w:color="auto" w:sz="4" w:space="0"/>
              <w:right w:val="single" w:color="auto" w:sz="4" w:space="0"/>
            </w:tcBorders>
            <w:noWrap w:val="0"/>
            <w:vAlign w:val="center"/>
          </w:tcPr>
          <w:p w14:paraId="4A010CD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
                <w:bCs/>
                <w:color w:val="auto"/>
                <w:sz w:val="21"/>
                <w:szCs w:val="21"/>
              </w:rPr>
            </w:pPr>
            <w:r>
              <w:rPr>
                <w:rFonts w:ascii="Times New Roman" w:hAnsi="Times New Roman"/>
                <w:b/>
                <w:bCs/>
                <w:color w:val="auto"/>
                <w:sz w:val="21"/>
                <w:szCs w:val="21"/>
              </w:rPr>
              <w:t>≤10</w:t>
            </w:r>
            <w:r>
              <w:rPr>
                <w:rFonts w:ascii="Times New Roman" w:hAnsi="宋体"/>
                <w:b/>
                <w:bCs/>
                <w:color w:val="auto"/>
                <w:sz w:val="21"/>
                <w:szCs w:val="21"/>
              </w:rPr>
              <w:t>分</w:t>
            </w:r>
          </w:p>
        </w:tc>
      </w:tr>
      <w:tr w14:paraId="27821E45">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jc w:val="center"/>
        </w:trPr>
        <w:tc>
          <w:tcPr>
            <w:tcW w:w="2237" w:type="dxa"/>
            <w:tcBorders>
              <w:top w:val="single" w:color="auto" w:sz="4" w:space="0"/>
              <w:left w:val="single" w:color="auto" w:sz="4" w:space="0"/>
              <w:bottom w:val="single" w:color="auto" w:sz="4" w:space="0"/>
              <w:right w:val="single" w:color="auto" w:sz="4" w:space="0"/>
            </w:tcBorders>
            <w:noWrap w:val="0"/>
            <w:vAlign w:val="center"/>
          </w:tcPr>
          <w:p w14:paraId="326C5A3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olor w:val="auto"/>
                <w:sz w:val="21"/>
                <w:szCs w:val="21"/>
              </w:rPr>
            </w:pPr>
            <w:r>
              <w:rPr>
                <w:rFonts w:ascii="Times New Roman" w:hAnsi="宋体"/>
                <w:color w:val="auto"/>
                <w:sz w:val="21"/>
                <w:szCs w:val="21"/>
              </w:rPr>
              <w:t>等级</w:t>
            </w:r>
          </w:p>
        </w:tc>
        <w:tc>
          <w:tcPr>
            <w:tcW w:w="2351" w:type="dxa"/>
            <w:tcBorders>
              <w:top w:val="single" w:color="auto" w:sz="4" w:space="0"/>
              <w:left w:val="single" w:color="auto" w:sz="4" w:space="0"/>
              <w:bottom w:val="single" w:color="auto" w:sz="4" w:space="0"/>
              <w:right w:val="single" w:color="auto" w:sz="4" w:space="0"/>
            </w:tcBorders>
            <w:noWrap w:val="0"/>
            <w:vAlign w:val="center"/>
          </w:tcPr>
          <w:p w14:paraId="1B15DF5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olor w:val="auto"/>
                <w:sz w:val="21"/>
                <w:szCs w:val="21"/>
              </w:rPr>
            </w:pPr>
            <w:r>
              <w:rPr>
                <w:rFonts w:ascii="宋体" w:hAnsi="宋体"/>
                <w:color w:val="auto"/>
                <w:sz w:val="21"/>
                <w:szCs w:val="21"/>
              </w:rPr>
              <w:t>Ⅰ</w:t>
            </w:r>
          </w:p>
        </w:tc>
        <w:tc>
          <w:tcPr>
            <w:tcW w:w="2352" w:type="dxa"/>
            <w:tcBorders>
              <w:top w:val="single" w:color="auto" w:sz="4" w:space="0"/>
              <w:left w:val="single" w:color="auto" w:sz="4" w:space="0"/>
              <w:bottom w:val="single" w:color="auto" w:sz="4" w:space="0"/>
              <w:right w:val="single" w:color="auto" w:sz="4" w:space="0"/>
            </w:tcBorders>
            <w:noWrap w:val="0"/>
            <w:vAlign w:val="center"/>
          </w:tcPr>
          <w:p w14:paraId="3E3FA84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olor w:val="auto"/>
                <w:sz w:val="21"/>
                <w:szCs w:val="21"/>
              </w:rPr>
            </w:pPr>
            <w:r>
              <w:rPr>
                <w:rFonts w:ascii="宋体" w:hAnsi="宋体"/>
                <w:color w:val="auto"/>
                <w:sz w:val="21"/>
                <w:szCs w:val="21"/>
              </w:rPr>
              <w:t>Ⅱ</w:t>
            </w:r>
          </w:p>
        </w:tc>
        <w:tc>
          <w:tcPr>
            <w:tcW w:w="2352" w:type="dxa"/>
            <w:tcBorders>
              <w:top w:val="single" w:color="auto" w:sz="4" w:space="0"/>
              <w:left w:val="single" w:color="auto" w:sz="4" w:space="0"/>
              <w:bottom w:val="single" w:color="auto" w:sz="4" w:space="0"/>
              <w:right w:val="single" w:color="auto" w:sz="4" w:space="0"/>
            </w:tcBorders>
            <w:noWrap w:val="0"/>
            <w:vAlign w:val="center"/>
          </w:tcPr>
          <w:p w14:paraId="0D1A0B2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olor w:val="auto"/>
                <w:sz w:val="21"/>
                <w:szCs w:val="21"/>
              </w:rPr>
            </w:pPr>
            <w:r>
              <w:rPr>
                <w:rFonts w:ascii="宋体" w:hAnsi="宋体"/>
                <w:color w:val="auto"/>
                <w:sz w:val="21"/>
                <w:szCs w:val="21"/>
              </w:rPr>
              <w:t>Ⅲ</w:t>
            </w:r>
          </w:p>
        </w:tc>
      </w:tr>
      <w:tr w14:paraId="7EB3273B">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jc w:val="center"/>
        </w:trPr>
        <w:tc>
          <w:tcPr>
            <w:tcW w:w="2237" w:type="dxa"/>
            <w:tcBorders>
              <w:top w:val="single" w:color="auto" w:sz="4" w:space="0"/>
              <w:left w:val="single" w:color="auto" w:sz="4" w:space="0"/>
              <w:bottom w:val="single" w:color="auto" w:sz="4" w:space="0"/>
              <w:right w:val="single" w:color="auto" w:sz="4" w:space="0"/>
            </w:tcBorders>
            <w:noWrap w:val="0"/>
            <w:vAlign w:val="center"/>
          </w:tcPr>
          <w:p w14:paraId="1BF6795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olor w:val="auto"/>
                <w:sz w:val="21"/>
                <w:szCs w:val="21"/>
              </w:rPr>
            </w:pPr>
            <w:r>
              <w:rPr>
                <w:rFonts w:ascii="Times New Roman" w:hAnsi="宋体"/>
                <w:color w:val="auto"/>
                <w:sz w:val="21"/>
                <w:szCs w:val="21"/>
              </w:rPr>
              <w:t>危险程度</w:t>
            </w:r>
          </w:p>
        </w:tc>
        <w:tc>
          <w:tcPr>
            <w:tcW w:w="2351" w:type="dxa"/>
            <w:tcBorders>
              <w:top w:val="single" w:color="auto" w:sz="4" w:space="0"/>
              <w:left w:val="single" w:color="auto" w:sz="4" w:space="0"/>
              <w:bottom w:val="single" w:color="auto" w:sz="4" w:space="0"/>
              <w:right w:val="single" w:color="auto" w:sz="4" w:space="0"/>
            </w:tcBorders>
            <w:noWrap w:val="0"/>
            <w:vAlign w:val="center"/>
          </w:tcPr>
          <w:p w14:paraId="4BE02E1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olor w:val="auto"/>
                <w:sz w:val="21"/>
                <w:szCs w:val="21"/>
              </w:rPr>
            </w:pPr>
            <w:r>
              <w:rPr>
                <w:rFonts w:ascii="Times New Roman" w:hAnsi="宋体"/>
                <w:color w:val="auto"/>
                <w:sz w:val="21"/>
                <w:szCs w:val="21"/>
              </w:rPr>
              <w:t>高度危险</w:t>
            </w:r>
          </w:p>
        </w:tc>
        <w:tc>
          <w:tcPr>
            <w:tcW w:w="2352" w:type="dxa"/>
            <w:tcBorders>
              <w:top w:val="single" w:color="auto" w:sz="4" w:space="0"/>
              <w:left w:val="single" w:color="auto" w:sz="4" w:space="0"/>
              <w:bottom w:val="single" w:color="auto" w:sz="4" w:space="0"/>
              <w:right w:val="single" w:color="auto" w:sz="4" w:space="0"/>
            </w:tcBorders>
            <w:noWrap w:val="0"/>
            <w:vAlign w:val="center"/>
          </w:tcPr>
          <w:p w14:paraId="7EFD9D0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olor w:val="auto"/>
                <w:sz w:val="21"/>
                <w:szCs w:val="21"/>
              </w:rPr>
            </w:pPr>
            <w:r>
              <w:rPr>
                <w:rFonts w:ascii="Times New Roman" w:hAnsi="宋体"/>
                <w:color w:val="auto"/>
                <w:sz w:val="21"/>
                <w:szCs w:val="21"/>
              </w:rPr>
              <w:t>中度危险</w:t>
            </w:r>
          </w:p>
        </w:tc>
        <w:tc>
          <w:tcPr>
            <w:tcW w:w="2352" w:type="dxa"/>
            <w:tcBorders>
              <w:top w:val="single" w:color="auto" w:sz="4" w:space="0"/>
              <w:left w:val="single" w:color="auto" w:sz="4" w:space="0"/>
              <w:bottom w:val="single" w:color="auto" w:sz="4" w:space="0"/>
              <w:right w:val="single" w:color="auto" w:sz="4" w:space="0"/>
            </w:tcBorders>
            <w:noWrap w:val="0"/>
            <w:vAlign w:val="center"/>
          </w:tcPr>
          <w:p w14:paraId="36A1BFF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olor w:val="auto"/>
                <w:sz w:val="21"/>
                <w:szCs w:val="21"/>
              </w:rPr>
            </w:pPr>
            <w:r>
              <w:rPr>
                <w:rFonts w:ascii="Times New Roman" w:hAnsi="宋体"/>
                <w:color w:val="auto"/>
                <w:sz w:val="21"/>
                <w:szCs w:val="21"/>
              </w:rPr>
              <w:t>低度危险</w:t>
            </w:r>
          </w:p>
        </w:tc>
      </w:tr>
    </w:tbl>
    <w:p w14:paraId="0708AA5D">
      <w:pPr>
        <w:pStyle w:val="3"/>
        <w:bidi w:val="0"/>
        <w:rPr>
          <w:rFonts w:hint="default"/>
          <w:lang w:val="en-US" w:eastAsia="zh-CN"/>
        </w:rPr>
      </w:pPr>
      <w:bookmarkStart w:id="72" w:name="_Toc22565"/>
      <w:r>
        <w:rPr>
          <w:rFonts w:hint="default"/>
          <w:lang w:val="en-US" w:eastAsia="zh-CN"/>
        </w:rPr>
        <w:t>5.3 各单元采用的安全评价方法</w:t>
      </w:r>
      <w:bookmarkEnd w:id="72"/>
    </w:p>
    <w:p w14:paraId="6D2F1D67">
      <w:pPr>
        <w:ind w:left="0" w:leftChars="0" w:firstLine="0" w:firstLineChars="0"/>
        <w:jc w:val="center"/>
        <w:rPr>
          <w:rFonts w:hint="default"/>
          <w:lang w:val="en-US" w:eastAsia="zh-CN"/>
        </w:rPr>
      </w:pPr>
      <w:r>
        <w:rPr>
          <w:rFonts w:hint="default"/>
          <w:lang w:val="en-US" w:eastAsia="zh-CN"/>
        </w:rPr>
        <w:t>表5.3-1 各单元采用的安全评价方法一览表</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0"/>
        <w:gridCol w:w="2636"/>
        <w:gridCol w:w="3397"/>
        <w:gridCol w:w="2393"/>
      </w:tblGrid>
      <w:tr w14:paraId="35F5B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exact"/>
          <w:jc w:val="center"/>
        </w:trPr>
        <w:tc>
          <w:tcPr>
            <w:tcW w:w="860" w:type="dxa"/>
            <w:noWrap w:val="0"/>
            <w:vAlign w:val="center"/>
          </w:tcPr>
          <w:p w14:paraId="7925D67E">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b/>
                <w:bCs/>
                <w:color w:val="auto"/>
              </w:rPr>
            </w:pPr>
            <w:r>
              <w:rPr>
                <w:b/>
                <w:bCs/>
                <w:color w:val="auto"/>
              </w:rPr>
              <w:t>序号</w:t>
            </w:r>
          </w:p>
        </w:tc>
        <w:tc>
          <w:tcPr>
            <w:tcW w:w="2636" w:type="dxa"/>
            <w:noWrap w:val="0"/>
            <w:vAlign w:val="center"/>
          </w:tcPr>
          <w:p w14:paraId="6EAA72A9">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b/>
                <w:bCs/>
                <w:color w:val="auto"/>
              </w:rPr>
            </w:pPr>
            <w:r>
              <w:rPr>
                <w:b/>
                <w:bCs/>
                <w:color w:val="auto"/>
              </w:rPr>
              <w:t>评价单元</w:t>
            </w:r>
          </w:p>
        </w:tc>
        <w:tc>
          <w:tcPr>
            <w:tcW w:w="3397" w:type="dxa"/>
            <w:noWrap w:val="0"/>
            <w:vAlign w:val="center"/>
          </w:tcPr>
          <w:p w14:paraId="4A6C1618">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b/>
                <w:bCs/>
                <w:color w:val="auto"/>
              </w:rPr>
            </w:pPr>
            <w:r>
              <w:rPr>
                <w:b/>
                <w:bCs/>
                <w:color w:val="auto"/>
              </w:rPr>
              <w:t>评价的主要对象</w:t>
            </w:r>
          </w:p>
        </w:tc>
        <w:tc>
          <w:tcPr>
            <w:tcW w:w="2393" w:type="dxa"/>
            <w:noWrap w:val="0"/>
            <w:vAlign w:val="center"/>
          </w:tcPr>
          <w:p w14:paraId="33613CCA">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b/>
                <w:bCs/>
                <w:color w:val="auto"/>
              </w:rPr>
            </w:pPr>
            <w:r>
              <w:rPr>
                <w:b/>
                <w:bCs/>
                <w:color w:val="auto"/>
              </w:rPr>
              <w:t>采用的评价方法</w:t>
            </w:r>
          </w:p>
        </w:tc>
      </w:tr>
      <w:tr w14:paraId="75EF7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860" w:type="dxa"/>
            <w:tcBorders>
              <w:bottom w:val="single" w:color="auto" w:sz="4" w:space="0"/>
            </w:tcBorders>
            <w:noWrap w:val="0"/>
            <w:vAlign w:val="center"/>
          </w:tcPr>
          <w:p w14:paraId="62FF8650">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color w:val="auto"/>
              </w:rPr>
            </w:pPr>
            <w:r>
              <w:rPr>
                <w:color w:val="auto"/>
              </w:rPr>
              <w:t>1</w:t>
            </w:r>
          </w:p>
        </w:tc>
        <w:tc>
          <w:tcPr>
            <w:tcW w:w="2636" w:type="dxa"/>
            <w:tcBorders>
              <w:bottom w:val="single" w:color="auto" w:sz="4" w:space="0"/>
            </w:tcBorders>
            <w:noWrap w:val="0"/>
            <w:vAlign w:val="center"/>
          </w:tcPr>
          <w:p w14:paraId="6B6F5297">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eastAsia" w:eastAsia="宋体"/>
                <w:color w:val="auto"/>
                <w:lang w:eastAsia="zh-CN"/>
              </w:rPr>
            </w:pPr>
            <w:r>
              <w:rPr>
                <w:color w:val="auto"/>
              </w:rPr>
              <w:t>选址</w:t>
            </w:r>
            <w:r>
              <w:rPr>
                <w:rFonts w:hint="eastAsia"/>
                <w:color w:val="auto"/>
                <w:lang w:eastAsia="zh-CN"/>
              </w:rPr>
              <w:t>单元</w:t>
            </w:r>
          </w:p>
        </w:tc>
        <w:tc>
          <w:tcPr>
            <w:tcW w:w="3397" w:type="dxa"/>
            <w:noWrap w:val="0"/>
            <w:vAlign w:val="center"/>
          </w:tcPr>
          <w:p w14:paraId="261737C6">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color w:val="auto"/>
              </w:rPr>
            </w:pPr>
            <w:r>
              <w:rPr>
                <w:color w:val="auto"/>
              </w:rPr>
              <w:t>周边环境</w:t>
            </w:r>
          </w:p>
        </w:tc>
        <w:tc>
          <w:tcPr>
            <w:tcW w:w="2393" w:type="dxa"/>
            <w:noWrap w:val="0"/>
            <w:vAlign w:val="center"/>
          </w:tcPr>
          <w:p w14:paraId="4BF92483">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color w:val="auto"/>
              </w:rPr>
            </w:pPr>
            <w:r>
              <w:rPr>
                <w:color w:val="auto"/>
              </w:rPr>
              <w:t>安全检查表法</w:t>
            </w:r>
          </w:p>
        </w:tc>
      </w:tr>
      <w:tr w14:paraId="48DA0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860" w:type="dxa"/>
            <w:tcBorders>
              <w:bottom w:val="single" w:color="auto" w:sz="4" w:space="0"/>
            </w:tcBorders>
            <w:noWrap w:val="0"/>
            <w:vAlign w:val="center"/>
          </w:tcPr>
          <w:p w14:paraId="53214A5C">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eastAsia" w:eastAsia="宋体"/>
                <w:color w:val="auto"/>
                <w:lang w:val="en-US" w:eastAsia="zh-CN"/>
              </w:rPr>
            </w:pPr>
            <w:r>
              <w:rPr>
                <w:rFonts w:hint="eastAsia"/>
                <w:color w:val="auto"/>
                <w:lang w:val="en-US" w:eastAsia="zh-CN"/>
              </w:rPr>
              <w:t>2</w:t>
            </w:r>
          </w:p>
        </w:tc>
        <w:tc>
          <w:tcPr>
            <w:tcW w:w="2636" w:type="dxa"/>
            <w:tcBorders>
              <w:bottom w:val="single" w:color="auto" w:sz="4" w:space="0"/>
            </w:tcBorders>
            <w:noWrap w:val="0"/>
            <w:vAlign w:val="center"/>
          </w:tcPr>
          <w:p w14:paraId="69905348">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color w:val="auto"/>
              </w:rPr>
            </w:pPr>
            <w:r>
              <w:rPr>
                <w:color w:val="auto"/>
              </w:rPr>
              <w:t>总平面布置单元</w:t>
            </w:r>
          </w:p>
        </w:tc>
        <w:tc>
          <w:tcPr>
            <w:tcW w:w="3397" w:type="dxa"/>
            <w:noWrap w:val="0"/>
            <w:vAlign w:val="center"/>
          </w:tcPr>
          <w:p w14:paraId="312F83DB">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color w:val="auto"/>
              </w:rPr>
            </w:pPr>
            <w:r>
              <w:rPr>
                <w:color w:val="auto"/>
              </w:rPr>
              <w:t>平面布置</w:t>
            </w:r>
          </w:p>
        </w:tc>
        <w:tc>
          <w:tcPr>
            <w:tcW w:w="2393" w:type="dxa"/>
            <w:noWrap w:val="0"/>
            <w:vAlign w:val="center"/>
          </w:tcPr>
          <w:p w14:paraId="0E6D6F64">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color w:val="auto"/>
              </w:rPr>
            </w:pPr>
            <w:r>
              <w:rPr>
                <w:color w:val="auto"/>
              </w:rPr>
              <w:t>安全检查表法</w:t>
            </w:r>
          </w:p>
        </w:tc>
      </w:tr>
      <w:tr w14:paraId="1373D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860" w:type="dxa"/>
            <w:vMerge w:val="restart"/>
            <w:noWrap w:val="0"/>
            <w:vAlign w:val="center"/>
          </w:tcPr>
          <w:p w14:paraId="69EC895F">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eastAsia" w:eastAsia="宋体"/>
                <w:color w:val="auto"/>
                <w:lang w:eastAsia="zh-CN"/>
              </w:rPr>
            </w:pPr>
            <w:r>
              <w:rPr>
                <w:rFonts w:hint="eastAsia"/>
                <w:color w:val="auto"/>
                <w:lang w:val="en-US" w:eastAsia="zh-CN"/>
              </w:rPr>
              <w:t>3</w:t>
            </w:r>
          </w:p>
        </w:tc>
        <w:tc>
          <w:tcPr>
            <w:tcW w:w="2636" w:type="dxa"/>
            <w:vMerge w:val="restart"/>
            <w:noWrap w:val="0"/>
            <w:vAlign w:val="center"/>
          </w:tcPr>
          <w:p w14:paraId="1231856A">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color w:val="auto"/>
              </w:rPr>
            </w:pPr>
            <w:r>
              <w:rPr>
                <w:color w:val="auto"/>
              </w:rPr>
              <w:t>生产单元</w:t>
            </w:r>
          </w:p>
        </w:tc>
        <w:tc>
          <w:tcPr>
            <w:tcW w:w="3397" w:type="dxa"/>
            <w:tcBorders>
              <w:bottom w:val="single" w:color="auto" w:sz="4" w:space="0"/>
            </w:tcBorders>
            <w:noWrap w:val="0"/>
            <w:vAlign w:val="center"/>
          </w:tcPr>
          <w:p w14:paraId="14527D5E">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color w:val="auto"/>
              </w:rPr>
            </w:pPr>
            <w:r>
              <w:rPr>
                <w:rFonts w:hint="eastAsia"/>
                <w:color w:val="auto"/>
                <w:lang w:eastAsia="zh-CN"/>
              </w:rPr>
              <w:t>生产工艺、装置设施</w:t>
            </w:r>
          </w:p>
        </w:tc>
        <w:tc>
          <w:tcPr>
            <w:tcW w:w="2393" w:type="dxa"/>
            <w:vMerge w:val="restart"/>
            <w:noWrap w:val="0"/>
            <w:vAlign w:val="center"/>
          </w:tcPr>
          <w:p w14:paraId="3CBB3B4D">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color w:val="auto"/>
              </w:rPr>
            </w:pPr>
            <w:r>
              <w:rPr>
                <w:color w:val="auto"/>
              </w:rPr>
              <w:t>安全检查表法</w:t>
            </w:r>
          </w:p>
          <w:p w14:paraId="7F9A816F">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color w:val="auto"/>
              </w:rPr>
            </w:pPr>
            <w:r>
              <w:rPr>
                <w:color w:val="auto"/>
              </w:rPr>
              <w:t>危险度分析评价</w:t>
            </w:r>
          </w:p>
        </w:tc>
      </w:tr>
      <w:tr w14:paraId="03DF7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860" w:type="dxa"/>
            <w:vMerge w:val="continue"/>
            <w:noWrap w:val="0"/>
            <w:vAlign w:val="center"/>
          </w:tcPr>
          <w:p w14:paraId="38C4BD7A">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color w:val="auto"/>
              </w:rPr>
            </w:pPr>
          </w:p>
        </w:tc>
        <w:tc>
          <w:tcPr>
            <w:tcW w:w="2636" w:type="dxa"/>
            <w:vMerge w:val="continue"/>
            <w:noWrap w:val="0"/>
            <w:vAlign w:val="center"/>
          </w:tcPr>
          <w:p w14:paraId="4511D6DC">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color w:val="auto"/>
              </w:rPr>
            </w:pPr>
          </w:p>
        </w:tc>
        <w:tc>
          <w:tcPr>
            <w:tcW w:w="3397" w:type="dxa"/>
            <w:noWrap w:val="0"/>
            <w:vAlign w:val="center"/>
          </w:tcPr>
          <w:p w14:paraId="48D08F2D">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eastAsia" w:eastAsia="宋体"/>
                <w:color w:val="auto"/>
                <w:lang w:eastAsia="zh-CN"/>
              </w:rPr>
            </w:pPr>
            <w:r>
              <w:rPr>
                <w:rFonts w:hint="eastAsia"/>
                <w:color w:val="auto"/>
                <w:lang w:eastAsia="zh-CN"/>
              </w:rPr>
              <w:t>危险性评价分析</w:t>
            </w:r>
          </w:p>
        </w:tc>
        <w:tc>
          <w:tcPr>
            <w:tcW w:w="2393" w:type="dxa"/>
            <w:vMerge w:val="continue"/>
            <w:noWrap w:val="0"/>
            <w:vAlign w:val="center"/>
          </w:tcPr>
          <w:p w14:paraId="3D7631EE">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color w:val="auto"/>
              </w:rPr>
            </w:pPr>
          </w:p>
        </w:tc>
      </w:tr>
      <w:tr w14:paraId="08891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860" w:type="dxa"/>
            <w:vMerge w:val="restart"/>
            <w:noWrap w:val="0"/>
            <w:vAlign w:val="center"/>
          </w:tcPr>
          <w:p w14:paraId="7947445C">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eastAsia" w:eastAsia="宋体"/>
                <w:color w:val="auto"/>
                <w:lang w:eastAsia="zh-CN"/>
              </w:rPr>
            </w:pPr>
            <w:r>
              <w:rPr>
                <w:rFonts w:hint="eastAsia"/>
                <w:color w:val="auto"/>
                <w:lang w:val="en-US" w:eastAsia="zh-CN"/>
              </w:rPr>
              <w:t>4</w:t>
            </w:r>
          </w:p>
        </w:tc>
        <w:tc>
          <w:tcPr>
            <w:tcW w:w="2636" w:type="dxa"/>
            <w:vMerge w:val="restart"/>
            <w:noWrap w:val="0"/>
            <w:vAlign w:val="center"/>
          </w:tcPr>
          <w:p w14:paraId="480DDF33">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color w:val="auto"/>
              </w:rPr>
            </w:pPr>
            <w:r>
              <w:rPr>
                <w:color w:val="auto"/>
              </w:rPr>
              <w:t>公用工程单元</w:t>
            </w:r>
          </w:p>
        </w:tc>
        <w:tc>
          <w:tcPr>
            <w:tcW w:w="3397" w:type="dxa"/>
            <w:noWrap w:val="0"/>
            <w:vAlign w:val="center"/>
          </w:tcPr>
          <w:p w14:paraId="3FD714AB">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eastAsia" w:eastAsia="宋体"/>
                <w:color w:val="auto"/>
                <w:lang w:eastAsia="zh-CN"/>
              </w:rPr>
            </w:pPr>
            <w:r>
              <w:rPr>
                <w:color w:val="auto"/>
              </w:rPr>
              <w:t>消防设施</w:t>
            </w:r>
            <w:r>
              <w:rPr>
                <w:rFonts w:hint="eastAsia"/>
                <w:color w:val="auto"/>
                <w:lang w:eastAsia="zh-CN"/>
              </w:rPr>
              <w:t>及给排水设施</w:t>
            </w:r>
          </w:p>
        </w:tc>
        <w:tc>
          <w:tcPr>
            <w:tcW w:w="2393" w:type="dxa"/>
            <w:vMerge w:val="restart"/>
            <w:noWrap w:val="0"/>
            <w:vAlign w:val="center"/>
          </w:tcPr>
          <w:p w14:paraId="3085DBE2">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color w:val="auto"/>
              </w:rPr>
            </w:pPr>
            <w:r>
              <w:rPr>
                <w:color w:val="auto"/>
              </w:rPr>
              <w:t>安全检查表法</w:t>
            </w:r>
          </w:p>
        </w:tc>
      </w:tr>
      <w:tr w14:paraId="172B3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860" w:type="dxa"/>
            <w:vMerge w:val="continue"/>
            <w:noWrap w:val="0"/>
            <w:vAlign w:val="center"/>
          </w:tcPr>
          <w:p w14:paraId="11115B12">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color w:val="auto"/>
              </w:rPr>
            </w:pPr>
          </w:p>
        </w:tc>
        <w:tc>
          <w:tcPr>
            <w:tcW w:w="2636" w:type="dxa"/>
            <w:vMerge w:val="continue"/>
            <w:noWrap w:val="0"/>
            <w:vAlign w:val="center"/>
          </w:tcPr>
          <w:p w14:paraId="6A58925D">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color w:val="auto"/>
              </w:rPr>
            </w:pPr>
          </w:p>
        </w:tc>
        <w:tc>
          <w:tcPr>
            <w:tcW w:w="3397" w:type="dxa"/>
            <w:noWrap w:val="0"/>
            <w:vAlign w:val="center"/>
          </w:tcPr>
          <w:p w14:paraId="29ADF808">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color w:val="auto"/>
              </w:rPr>
            </w:pPr>
            <w:r>
              <w:rPr>
                <w:color w:val="auto"/>
              </w:rPr>
              <w:t>电气设施</w:t>
            </w:r>
          </w:p>
        </w:tc>
        <w:tc>
          <w:tcPr>
            <w:tcW w:w="2393" w:type="dxa"/>
            <w:vMerge w:val="continue"/>
            <w:noWrap w:val="0"/>
            <w:vAlign w:val="center"/>
          </w:tcPr>
          <w:p w14:paraId="68A8553C">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color w:val="auto"/>
              </w:rPr>
            </w:pPr>
          </w:p>
        </w:tc>
      </w:tr>
      <w:tr w14:paraId="6F607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860" w:type="dxa"/>
            <w:vMerge w:val="continue"/>
            <w:noWrap w:val="0"/>
            <w:vAlign w:val="center"/>
          </w:tcPr>
          <w:p w14:paraId="067C7114">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color w:val="auto"/>
              </w:rPr>
            </w:pPr>
          </w:p>
        </w:tc>
        <w:tc>
          <w:tcPr>
            <w:tcW w:w="2636" w:type="dxa"/>
            <w:vMerge w:val="continue"/>
            <w:noWrap w:val="0"/>
            <w:vAlign w:val="center"/>
          </w:tcPr>
          <w:p w14:paraId="293CAB5E">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color w:val="auto"/>
              </w:rPr>
            </w:pPr>
          </w:p>
        </w:tc>
        <w:tc>
          <w:tcPr>
            <w:tcW w:w="3397" w:type="dxa"/>
            <w:noWrap w:val="0"/>
            <w:vAlign w:val="center"/>
          </w:tcPr>
          <w:p w14:paraId="37DCF2B4">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eastAsia" w:eastAsia="宋体"/>
                <w:color w:val="auto"/>
                <w:lang w:eastAsia="zh-CN"/>
              </w:rPr>
            </w:pPr>
            <w:r>
              <w:rPr>
                <w:rFonts w:hint="eastAsia"/>
                <w:color w:val="auto"/>
                <w:lang w:eastAsia="zh-CN"/>
              </w:rPr>
              <w:t>采暖设施、建构筑物及绿化</w:t>
            </w:r>
          </w:p>
        </w:tc>
        <w:tc>
          <w:tcPr>
            <w:tcW w:w="2393" w:type="dxa"/>
            <w:vMerge w:val="continue"/>
            <w:noWrap w:val="0"/>
            <w:vAlign w:val="center"/>
          </w:tcPr>
          <w:p w14:paraId="0DB473A3">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color w:val="auto"/>
              </w:rPr>
            </w:pPr>
          </w:p>
        </w:tc>
      </w:tr>
      <w:tr w14:paraId="3730A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860" w:type="dxa"/>
            <w:noWrap w:val="0"/>
            <w:vAlign w:val="center"/>
          </w:tcPr>
          <w:p w14:paraId="6E60852A">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eastAsia" w:eastAsia="宋体"/>
                <w:color w:val="auto"/>
                <w:lang w:eastAsia="zh-CN"/>
              </w:rPr>
            </w:pPr>
            <w:r>
              <w:rPr>
                <w:rFonts w:hint="eastAsia"/>
                <w:color w:val="auto"/>
                <w:lang w:val="en-US" w:eastAsia="zh-CN"/>
              </w:rPr>
              <w:t>5</w:t>
            </w:r>
          </w:p>
        </w:tc>
        <w:tc>
          <w:tcPr>
            <w:tcW w:w="2636" w:type="dxa"/>
            <w:noWrap w:val="0"/>
            <w:vAlign w:val="center"/>
          </w:tcPr>
          <w:p w14:paraId="7F65086E">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color w:val="auto"/>
              </w:rPr>
            </w:pPr>
            <w:r>
              <w:rPr>
                <w:color w:val="auto"/>
              </w:rPr>
              <w:t>安全管理单元</w:t>
            </w:r>
          </w:p>
        </w:tc>
        <w:tc>
          <w:tcPr>
            <w:tcW w:w="3397" w:type="dxa"/>
            <w:noWrap w:val="0"/>
            <w:vAlign w:val="center"/>
          </w:tcPr>
          <w:p w14:paraId="7CAE9D07">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default" w:eastAsia="宋体"/>
                <w:color w:val="auto"/>
                <w:lang w:val="en-US" w:eastAsia="zh-CN"/>
              </w:rPr>
            </w:pPr>
            <w:r>
              <w:rPr>
                <w:rFonts w:hint="eastAsia"/>
                <w:color w:val="auto"/>
                <w:lang w:val="en-US" w:eastAsia="zh-CN"/>
              </w:rPr>
              <w:t>安全管理情况</w:t>
            </w:r>
          </w:p>
        </w:tc>
        <w:tc>
          <w:tcPr>
            <w:tcW w:w="2393" w:type="dxa"/>
            <w:noWrap w:val="0"/>
            <w:vAlign w:val="center"/>
          </w:tcPr>
          <w:p w14:paraId="4F97D246">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color w:val="auto"/>
              </w:rPr>
            </w:pPr>
            <w:r>
              <w:rPr>
                <w:color w:val="auto"/>
              </w:rPr>
              <w:t>安全检查表法</w:t>
            </w:r>
          </w:p>
        </w:tc>
      </w:tr>
      <w:tr w14:paraId="15E91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860" w:type="dxa"/>
            <w:noWrap w:val="0"/>
            <w:vAlign w:val="center"/>
          </w:tcPr>
          <w:p w14:paraId="364BDB96">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eastAsia" w:eastAsia="宋体"/>
                <w:color w:val="auto"/>
                <w:lang w:val="en-US" w:eastAsia="zh-CN"/>
              </w:rPr>
            </w:pPr>
            <w:r>
              <w:rPr>
                <w:rFonts w:hint="eastAsia"/>
                <w:color w:val="auto"/>
                <w:lang w:val="en-US" w:eastAsia="zh-CN"/>
              </w:rPr>
              <w:t>6</w:t>
            </w:r>
          </w:p>
        </w:tc>
        <w:tc>
          <w:tcPr>
            <w:tcW w:w="2636" w:type="dxa"/>
            <w:noWrap w:val="0"/>
            <w:vAlign w:val="center"/>
          </w:tcPr>
          <w:p w14:paraId="580E39B4">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color w:val="auto"/>
              </w:rPr>
            </w:pPr>
            <w:r>
              <w:rPr>
                <w:rFonts w:hint="eastAsia"/>
                <w:color w:val="auto"/>
                <w:lang w:val="en-US" w:eastAsia="zh-CN"/>
              </w:rPr>
              <w:t>重大生产安全事故隐患检查单元</w:t>
            </w:r>
          </w:p>
        </w:tc>
        <w:tc>
          <w:tcPr>
            <w:tcW w:w="3397" w:type="dxa"/>
            <w:noWrap w:val="0"/>
            <w:vAlign w:val="center"/>
          </w:tcPr>
          <w:p w14:paraId="3711D613">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color w:val="auto"/>
              </w:rPr>
            </w:pPr>
            <w:r>
              <w:rPr>
                <w:rFonts w:hint="eastAsia"/>
                <w:color w:val="auto"/>
                <w:lang w:val="en-US" w:eastAsia="zh-CN"/>
              </w:rPr>
              <w:t>重大生产安全事故隐患</w:t>
            </w:r>
          </w:p>
        </w:tc>
        <w:tc>
          <w:tcPr>
            <w:tcW w:w="2393" w:type="dxa"/>
            <w:noWrap w:val="0"/>
            <w:vAlign w:val="center"/>
          </w:tcPr>
          <w:p w14:paraId="156F2BD1">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eastAsia" w:eastAsia="宋体"/>
                <w:color w:val="auto"/>
                <w:lang w:eastAsia="zh-CN"/>
              </w:rPr>
            </w:pPr>
            <w:r>
              <w:rPr>
                <w:rFonts w:hint="eastAsia"/>
                <w:color w:val="auto"/>
                <w:lang w:eastAsia="zh-CN"/>
              </w:rPr>
              <w:t>安全检查表法</w:t>
            </w:r>
          </w:p>
        </w:tc>
      </w:tr>
    </w:tbl>
    <w:p w14:paraId="6201DB4F">
      <w:pPr>
        <w:ind w:left="0" w:leftChars="0" w:firstLine="0" w:firstLineChars="0"/>
        <w:jc w:val="center"/>
        <w:rPr>
          <w:rFonts w:hint="default"/>
          <w:lang w:val="en-US" w:eastAsia="zh-CN"/>
        </w:rPr>
      </w:pPr>
    </w:p>
    <w:p w14:paraId="57E3E6A1">
      <w:pPr>
        <w:rPr>
          <w:rFonts w:hint="default"/>
          <w:lang w:val="en-US" w:eastAsia="zh-CN"/>
        </w:rPr>
      </w:pPr>
      <w:r>
        <w:rPr>
          <w:rFonts w:hint="default"/>
          <w:lang w:val="en-US" w:eastAsia="zh-CN"/>
        </w:rPr>
        <w:br w:type="page"/>
      </w:r>
    </w:p>
    <w:p w14:paraId="451D0162">
      <w:pPr>
        <w:pStyle w:val="2"/>
        <w:numPr>
          <w:ilvl w:val="0"/>
          <w:numId w:val="1"/>
        </w:numPr>
        <w:bidi w:val="0"/>
        <w:ind w:left="0" w:leftChars="0" w:firstLine="0" w:firstLineChars="0"/>
        <w:rPr>
          <w:rFonts w:hint="default"/>
          <w:color w:val="auto"/>
          <w:lang w:val="en-US" w:eastAsia="zh-CN"/>
        </w:rPr>
      </w:pPr>
      <w:bookmarkStart w:id="73" w:name="_Toc17772"/>
      <w:r>
        <w:rPr>
          <w:rFonts w:hint="default"/>
          <w:color w:val="auto"/>
          <w:lang w:val="en-US" w:eastAsia="zh-CN"/>
        </w:rPr>
        <w:t>定性定量分析结果</w:t>
      </w:r>
      <w:bookmarkEnd w:id="73"/>
    </w:p>
    <w:p w14:paraId="0F854C05">
      <w:pPr>
        <w:pStyle w:val="3"/>
        <w:bidi w:val="0"/>
        <w:rPr>
          <w:rFonts w:hint="default"/>
          <w:lang w:val="en-US" w:eastAsia="zh-CN"/>
        </w:rPr>
      </w:pPr>
      <w:bookmarkStart w:id="74" w:name="_Toc2949"/>
      <w:r>
        <w:rPr>
          <w:rFonts w:hint="default"/>
          <w:lang w:val="en-US" w:eastAsia="zh-CN"/>
        </w:rPr>
        <w:t>6.1 项目选址单元评价结果</w:t>
      </w:r>
      <w:bookmarkEnd w:id="74"/>
    </w:p>
    <w:p w14:paraId="0BE09F53">
      <w:pPr>
        <w:rPr>
          <w:rFonts w:hint="default"/>
          <w:b w:val="0"/>
          <w:bCs w:val="0"/>
          <w:color w:val="auto"/>
          <w:lang w:val="en-US" w:eastAsia="zh-CN"/>
        </w:rPr>
      </w:pPr>
      <w:r>
        <w:rPr>
          <w:rFonts w:hint="default"/>
          <w:lang w:val="en-US" w:eastAsia="zh-CN"/>
        </w:rPr>
        <w:t>根据《撬装式汽车加油站技术标准》（SH/T3134-2023）、《汽车加油加气加氢站技术标准》（GB50156-2021）等制作检查表对项目选址单元进行检查，全部检查项均合格，项目选址单元符合安全生产要求。具体分析过程详</w:t>
      </w:r>
      <w:r>
        <w:rPr>
          <w:rFonts w:hint="default"/>
          <w:b w:val="0"/>
          <w:bCs w:val="0"/>
          <w:color w:val="auto"/>
          <w:lang w:val="en-US" w:eastAsia="zh-CN"/>
        </w:rPr>
        <w:t>见报告附录F3.1。</w:t>
      </w:r>
    </w:p>
    <w:p w14:paraId="78BA697A">
      <w:pPr>
        <w:rPr>
          <w:rFonts w:hint="default"/>
          <w:b w:val="0"/>
          <w:bCs w:val="0"/>
          <w:color w:val="auto"/>
          <w:lang w:val="en-US" w:eastAsia="zh-CN"/>
        </w:rPr>
      </w:pPr>
      <w:r>
        <w:rPr>
          <w:rFonts w:hint="default"/>
          <w:b w:val="0"/>
          <w:bCs w:val="0"/>
          <w:color w:val="auto"/>
          <w:lang w:val="en-US" w:eastAsia="zh-CN"/>
        </w:rPr>
        <w:t>综上所述，建设项目外部条件符合标准要求，建设项目选址符合国家相关法规标准要求。</w:t>
      </w:r>
    </w:p>
    <w:p w14:paraId="7A8C9534">
      <w:pPr>
        <w:pStyle w:val="3"/>
        <w:bidi w:val="0"/>
        <w:rPr>
          <w:rFonts w:hint="default"/>
          <w:lang w:val="en-US" w:eastAsia="zh-CN"/>
        </w:rPr>
      </w:pPr>
      <w:bookmarkStart w:id="75" w:name="_Toc8283"/>
      <w:r>
        <w:rPr>
          <w:rFonts w:hint="default"/>
          <w:lang w:val="en-US" w:eastAsia="zh-CN"/>
        </w:rPr>
        <w:t>6.2 总平面布置单元评价结果</w:t>
      </w:r>
      <w:bookmarkEnd w:id="75"/>
    </w:p>
    <w:p w14:paraId="626DFA35">
      <w:pPr>
        <w:rPr>
          <w:rFonts w:hint="default"/>
          <w:lang w:val="en-US" w:eastAsia="zh-CN"/>
        </w:rPr>
      </w:pPr>
      <w:r>
        <w:rPr>
          <w:rFonts w:hint="default"/>
          <w:lang w:val="en-US" w:eastAsia="zh-CN"/>
        </w:rPr>
        <w:t>根据《撬装式汽车加油站技术标准》（SH/T3134-2023）、《汽车加油加气加氢站技术标准》（GB50156-2021）等制作检查表，对总平面布置单元进行检查，全部检查项均合格，总平面布置单元符合安全生产要求。具体分析过程详见报告附录F3.2。</w:t>
      </w:r>
    </w:p>
    <w:p w14:paraId="1CA70521">
      <w:pPr>
        <w:rPr>
          <w:rFonts w:hint="default"/>
          <w:lang w:val="en-US" w:eastAsia="zh-CN"/>
        </w:rPr>
      </w:pPr>
      <w:r>
        <w:rPr>
          <w:rFonts w:hint="default"/>
          <w:lang w:val="en-US" w:eastAsia="zh-CN"/>
        </w:rPr>
        <w:t>综上所述，建设项目总平面布置符合标准要求。</w:t>
      </w:r>
    </w:p>
    <w:p w14:paraId="4A7DF517">
      <w:pPr>
        <w:pStyle w:val="3"/>
        <w:bidi w:val="0"/>
        <w:rPr>
          <w:rFonts w:hint="default"/>
          <w:lang w:val="en-US" w:eastAsia="zh-CN"/>
        </w:rPr>
      </w:pPr>
      <w:bookmarkStart w:id="76" w:name="_Toc14758"/>
      <w:r>
        <w:rPr>
          <w:rFonts w:hint="default"/>
          <w:lang w:val="en-US" w:eastAsia="zh-CN"/>
        </w:rPr>
        <w:t>6.3 生产工艺及装置设施单元评价结果</w:t>
      </w:r>
      <w:bookmarkEnd w:id="76"/>
    </w:p>
    <w:p w14:paraId="7ED6ECFA">
      <w:pPr>
        <w:rPr>
          <w:rFonts w:hint="default"/>
          <w:lang w:val="en-US" w:eastAsia="zh-CN"/>
        </w:rPr>
      </w:pPr>
      <w:r>
        <w:rPr>
          <w:rFonts w:hint="default"/>
          <w:lang w:val="en-US" w:eastAsia="zh-CN"/>
        </w:rPr>
        <w:t>1</w:t>
      </w:r>
      <w:r>
        <w:rPr>
          <w:rFonts w:hint="eastAsia"/>
          <w:lang w:val="en-US" w:eastAsia="zh-CN"/>
        </w:rPr>
        <w:t xml:space="preserve">. </w:t>
      </w:r>
      <w:r>
        <w:rPr>
          <w:rFonts w:hint="default"/>
          <w:lang w:val="en-US" w:eastAsia="zh-CN"/>
        </w:rPr>
        <w:t>根据《中华人民共和国特种设备安全法》、《生产过程安全卫生要求总则》</w:t>
      </w:r>
      <w:r>
        <w:rPr>
          <w:rFonts w:hint="eastAsia"/>
          <w:lang w:val="en-US" w:eastAsia="zh-CN"/>
        </w:rPr>
        <w:t>（</w:t>
      </w:r>
      <w:r>
        <w:rPr>
          <w:rFonts w:hint="default"/>
          <w:lang w:val="en-US" w:eastAsia="zh-CN"/>
        </w:rPr>
        <w:t>GB12801-2008</w:t>
      </w:r>
      <w:r>
        <w:rPr>
          <w:rFonts w:hint="eastAsia"/>
          <w:lang w:val="en-US" w:eastAsia="zh-CN"/>
        </w:rPr>
        <w:t>）</w:t>
      </w:r>
      <w:r>
        <w:rPr>
          <w:rFonts w:hint="default"/>
          <w:lang w:val="en-US" w:eastAsia="zh-CN"/>
        </w:rPr>
        <w:t>等制作检查表，对生产工艺及装置设施单元进行检查，全部检查项均合格，具体分析过程详见报告附录F3.3.1。</w:t>
      </w:r>
    </w:p>
    <w:p w14:paraId="3D04A583">
      <w:pPr>
        <w:rPr>
          <w:rFonts w:hint="default"/>
          <w:lang w:val="en-US" w:eastAsia="zh-CN"/>
        </w:rPr>
      </w:pPr>
      <w:r>
        <w:rPr>
          <w:rFonts w:hint="default"/>
          <w:lang w:val="en-US" w:eastAsia="zh-CN"/>
        </w:rPr>
        <w:t>2</w:t>
      </w:r>
      <w:r>
        <w:rPr>
          <w:rFonts w:hint="eastAsia"/>
          <w:lang w:val="en-US" w:eastAsia="zh-CN"/>
        </w:rPr>
        <w:t xml:space="preserve">. </w:t>
      </w:r>
      <w:r>
        <w:rPr>
          <w:rFonts w:hint="default"/>
          <w:lang w:val="en-US" w:eastAsia="zh-CN"/>
        </w:rPr>
        <w:t>该项目危险度分析评价单位为装置区，装置区危险度综合取值6分，为</w:t>
      </w:r>
      <w:r>
        <w:rPr>
          <w:rFonts w:hint="eastAsia" w:ascii="宋体" w:hAnsi="宋体" w:eastAsia="宋体" w:cs="宋体"/>
          <w:lang w:val="en-US" w:eastAsia="zh-CN"/>
        </w:rPr>
        <w:t>Ⅲ</w:t>
      </w:r>
      <w:r>
        <w:rPr>
          <w:rFonts w:hint="default"/>
          <w:lang w:val="en-US" w:eastAsia="zh-CN"/>
        </w:rPr>
        <w:t>级，属于低度危险。具体分析过程详见报告附录F3.3.2。</w:t>
      </w:r>
    </w:p>
    <w:p w14:paraId="0E4A7DE5">
      <w:pPr>
        <w:pStyle w:val="3"/>
        <w:bidi w:val="0"/>
        <w:rPr>
          <w:rFonts w:hint="default"/>
          <w:lang w:val="en-US" w:eastAsia="zh-CN"/>
        </w:rPr>
      </w:pPr>
      <w:bookmarkStart w:id="77" w:name="_Toc32466"/>
      <w:r>
        <w:rPr>
          <w:rFonts w:hint="default"/>
          <w:lang w:val="en-US" w:eastAsia="zh-CN"/>
        </w:rPr>
        <w:t>6.4 公用工程及辅助配套设施单元评价结果</w:t>
      </w:r>
      <w:bookmarkEnd w:id="77"/>
    </w:p>
    <w:p w14:paraId="18F9137E">
      <w:pPr>
        <w:rPr>
          <w:rFonts w:hint="default"/>
          <w:lang w:val="en-US" w:eastAsia="zh-CN"/>
        </w:rPr>
      </w:pPr>
      <w:r>
        <w:rPr>
          <w:rFonts w:hint="default"/>
          <w:lang w:val="en-US" w:eastAsia="zh-CN"/>
        </w:rPr>
        <w:t>将本单元分为消防设施及给排水子单元、电气、报警和紧急切断子单元采暖通风、建（构）筑物、绿化子单元进行评价，根据《撬装式汽车加油站技术标准》（SH/T3134-2023）、《汽车加油加气加氢站技术标准》（GB50156-2021）等制定安全检查表进行检查，</w:t>
      </w:r>
      <w:r>
        <w:rPr>
          <w:rFonts w:hint="eastAsia" w:cs="Times New Roman"/>
          <w:lang w:val="en-US" w:eastAsia="zh-CN"/>
        </w:rPr>
        <w:t>5</w:t>
      </w:r>
      <w:r>
        <w:rPr>
          <w:rFonts w:hint="default" w:ascii="Times New Roman" w:hAnsi="Times New Roman" w:eastAsia="宋体" w:cs="Times New Roman"/>
          <w:lang w:val="en-US" w:eastAsia="zh-CN"/>
        </w:rPr>
        <w:t>项不符合安全要求，不符合项为</w:t>
      </w:r>
      <w:r>
        <w:rPr>
          <w:rFonts w:hint="eastAsia" w:cs="Times New Roman"/>
          <w:lang w:val="en-US" w:eastAsia="zh-CN"/>
        </w:rPr>
        <w:t>：</w:t>
      </w:r>
      <w:r>
        <w:rPr>
          <w:rFonts w:hint="eastAsia" w:ascii="Times New Roman" w:hAnsi="Times New Roman" w:eastAsia="宋体" w:cs="Times New Roman"/>
          <w:lang w:val="en-US" w:eastAsia="zh-CN"/>
        </w:rPr>
        <w:t>①</w:t>
      </w:r>
      <w:r>
        <w:rPr>
          <w:rFonts w:hint="default" w:ascii="Times New Roman" w:hAnsi="Times New Roman" w:eastAsia="宋体" w:cs="Times New Roman"/>
          <w:lang w:val="en-US" w:eastAsia="zh-CN"/>
        </w:rPr>
        <w:t>消防设施设置不符合要求</w:t>
      </w:r>
      <w:r>
        <w:rPr>
          <w:rFonts w:hint="eastAsia" w:ascii="Times New Roman" w:hAnsi="Times New Roman" w:eastAsia="宋体" w:cs="Times New Roman"/>
          <w:lang w:val="en-US" w:eastAsia="zh-CN"/>
        </w:rPr>
        <w:t>；②现场未见UPS电备用电源；③撬装加油装置未见应急照明；④未按设计要求设置防撞柱</w:t>
      </w:r>
      <w:r>
        <w:rPr>
          <w:rFonts w:hint="default" w:ascii="Times New Roman" w:hAnsi="Times New Roman" w:eastAsia="宋体" w:cs="Times New Roman"/>
          <w:lang w:val="en-US" w:eastAsia="zh-CN"/>
        </w:rPr>
        <w:t>。</w:t>
      </w:r>
      <w:r>
        <w:rPr>
          <w:rFonts w:hint="default"/>
          <w:lang w:val="en-US" w:eastAsia="zh-CN"/>
        </w:rPr>
        <w:t>具体分析过程详见报告附录F3.4。</w:t>
      </w:r>
    </w:p>
    <w:p w14:paraId="3B00FE75">
      <w:pPr>
        <w:pStyle w:val="3"/>
        <w:bidi w:val="0"/>
        <w:rPr>
          <w:rFonts w:hint="default"/>
          <w:lang w:val="en-US" w:eastAsia="zh-CN"/>
        </w:rPr>
      </w:pPr>
      <w:bookmarkStart w:id="78" w:name="_Toc29396"/>
      <w:r>
        <w:rPr>
          <w:rFonts w:hint="default"/>
          <w:lang w:val="en-US" w:eastAsia="zh-CN"/>
        </w:rPr>
        <w:t>6.5</w:t>
      </w:r>
      <w:r>
        <w:rPr>
          <w:rFonts w:hint="eastAsia"/>
          <w:lang w:val="en-US" w:eastAsia="zh-CN"/>
        </w:rPr>
        <w:t xml:space="preserve"> </w:t>
      </w:r>
      <w:r>
        <w:rPr>
          <w:rFonts w:hint="default"/>
          <w:lang w:val="en-US" w:eastAsia="zh-CN"/>
        </w:rPr>
        <w:t>安全管理单元评价结果</w:t>
      </w:r>
      <w:bookmarkEnd w:id="78"/>
    </w:p>
    <w:p w14:paraId="67A8D06F">
      <w:pPr>
        <w:rPr>
          <w:rFonts w:hint="default"/>
          <w:lang w:val="en-US" w:eastAsia="zh-CN"/>
        </w:rPr>
      </w:pPr>
      <w:r>
        <w:rPr>
          <w:rFonts w:hint="default"/>
          <w:lang w:val="en-US" w:eastAsia="zh-CN"/>
        </w:rPr>
        <w:t>根据江西省应急管理厅办公室关于印发《加油站安全检查表》的通知（赣应急办字</w:t>
      </w:r>
      <w:r>
        <w:rPr>
          <w:rFonts w:hint="eastAsia" w:ascii="宋体" w:hAnsi="宋体" w:eastAsia="宋体" w:cs="宋体"/>
          <w:lang w:val="en-US" w:eastAsia="zh-CN"/>
        </w:rPr>
        <w:t>[</w:t>
      </w:r>
      <w:r>
        <w:rPr>
          <w:rFonts w:hint="default"/>
          <w:lang w:val="en-US" w:eastAsia="zh-CN"/>
        </w:rPr>
        <w:t>2023</w:t>
      </w:r>
      <w:r>
        <w:rPr>
          <w:rFonts w:hint="eastAsia" w:ascii="宋体" w:hAnsi="宋体" w:eastAsia="宋体" w:cs="宋体"/>
          <w:lang w:val="en-US" w:eastAsia="zh-CN"/>
        </w:rPr>
        <w:t>]</w:t>
      </w:r>
      <w:r>
        <w:rPr>
          <w:rFonts w:hint="default"/>
          <w:lang w:val="en-US" w:eastAsia="zh-CN"/>
        </w:rPr>
        <w:t>111号）的要求，对加油站</w:t>
      </w:r>
      <w:r>
        <w:rPr>
          <w:rFonts w:hint="eastAsia"/>
          <w:lang w:val="en-US" w:eastAsia="zh-CN"/>
        </w:rPr>
        <w:t>安全管理</w:t>
      </w:r>
      <w:r>
        <w:rPr>
          <w:rFonts w:hint="default"/>
          <w:lang w:val="en-US" w:eastAsia="zh-CN"/>
        </w:rPr>
        <w:t>检查</w:t>
      </w:r>
      <w:r>
        <w:rPr>
          <w:rFonts w:hint="eastAsia"/>
          <w:lang w:val="en-US" w:eastAsia="zh-CN"/>
        </w:rPr>
        <w:t>，</w:t>
      </w:r>
      <w:r>
        <w:rPr>
          <w:rFonts w:hint="default"/>
          <w:lang w:val="en-US" w:eastAsia="zh-CN"/>
        </w:rPr>
        <w:t>全部检查项均合格，安全管理单元符合安全要求。具体分析过程详见报告附录F3.5。</w:t>
      </w:r>
    </w:p>
    <w:p w14:paraId="3D3B0C91">
      <w:pPr>
        <w:pStyle w:val="3"/>
        <w:bidi w:val="0"/>
        <w:rPr>
          <w:rFonts w:hint="default"/>
          <w:lang w:val="en-US" w:eastAsia="zh-CN"/>
        </w:rPr>
      </w:pPr>
      <w:bookmarkStart w:id="79" w:name="_Toc10285"/>
      <w:r>
        <w:rPr>
          <w:rFonts w:hint="default"/>
          <w:lang w:val="en-US" w:eastAsia="zh-CN"/>
        </w:rPr>
        <w:t>6.6 重大事故隐患检查结果</w:t>
      </w:r>
      <w:bookmarkEnd w:id="79"/>
    </w:p>
    <w:p w14:paraId="43606E53">
      <w:pPr>
        <w:rPr>
          <w:rFonts w:hint="default"/>
          <w:lang w:val="en-US" w:eastAsia="zh-CN"/>
        </w:rPr>
      </w:pPr>
      <w:r>
        <w:rPr>
          <w:rFonts w:hint="default"/>
          <w:lang w:val="en-US" w:eastAsia="zh-CN"/>
        </w:rPr>
        <w:t>根据国家安全监管总局关于印发《化工和危险化学品生产经营单位重大生产安全事故隐患判定标准（试行）》的通知（安监总管三</w:t>
      </w:r>
      <w:r>
        <w:rPr>
          <w:rFonts w:hint="eastAsia" w:ascii="宋体" w:hAnsi="宋体" w:eastAsia="宋体" w:cs="宋体"/>
          <w:lang w:val="en-US" w:eastAsia="zh-CN"/>
        </w:rPr>
        <w:t>[</w:t>
      </w:r>
      <w:r>
        <w:rPr>
          <w:rFonts w:hint="default"/>
          <w:lang w:val="en-US" w:eastAsia="zh-CN"/>
        </w:rPr>
        <w:t>2017</w:t>
      </w:r>
      <w:r>
        <w:rPr>
          <w:rFonts w:hint="eastAsia" w:ascii="宋体" w:hAnsi="宋体" w:eastAsia="宋体" w:cs="宋体"/>
          <w:lang w:val="en-US" w:eastAsia="zh-CN"/>
        </w:rPr>
        <w:t>]</w:t>
      </w:r>
      <w:r>
        <w:rPr>
          <w:rFonts w:hint="default"/>
          <w:lang w:val="en-US" w:eastAsia="zh-CN"/>
        </w:rPr>
        <w:t>121号）的要求，对该项目重大事故隐患情况进行全面综合检查，具体分析过程详见报告附录F3.6。</w:t>
      </w:r>
    </w:p>
    <w:p w14:paraId="4E7D0B9D">
      <w:pPr>
        <w:rPr>
          <w:rFonts w:hint="default"/>
          <w:lang w:val="en-US" w:eastAsia="zh-CN"/>
        </w:rPr>
      </w:pPr>
      <w:r>
        <w:rPr>
          <w:rFonts w:hint="default"/>
          <w:lang w:val="en-US" w:eastAsia="zh-CN"/>
        </w:rPr>
        <w:t>检查结果：该项目未发现重大生产安全事故隐患。</w:t>
      </w:r>
    </w:p>
    <w:p w14:paraId="3240F278">
      <w:pPr>
        <w:pStyle w:val="3"/>
        <w:bidi w:val="0"/>
        <w:rPr>
          <w:rFonts w:hint="default"/>
          <w:lang w:val="en-US" w:eastAsia="zh-CN"/>
        </w:rPr>
      </w:pPr>
      <w:bookmarkStart w:id="80" w:name="_Toc57"/>
      <w:r>
        <w:rPr>
          <w:rFonts w:hint="default"/>
          <w:lang w:val="en-US" w:eastAsia="zh-CN"/>
        </w:rPr>
        <w:t>6.</w:t>
      </w:r>
      <w:r>
        <w:rPr>
          <w:rFonts w:hint="eastAsia"/>
          <w:lang w:val="en-US" w:eastAsia="zh-CN"/>
        </w:rPr>
        <w:t xml:space="preserve">7 </w:t>
      </w:r>
      <w:r>
        <w:rPr>
          <w:rFonts w:hint="default"/>
          <w:lang w:val="en-US" w:eastAsia="zh-CN"/>
        </w:rPr>
        <w:t>典型事故案例分析</w:t>
      </w:r>
      <w:bookmarkEnd w:id="80"/>
    </w:p>
    <w:p w14:paraId="700F3366">
      <w:pPr>
        <w:rPr>
          <w:rFonts w:hint="default"/>
          <w:lang w:val="en-US" w:eastAsia="zh-CN"/>
        </w:rPr>
      </w:pPr>
      <w:r>
        <w:rPr>
          <w:rFonts w:hint="default"/>
          <w:lang w:val="en-US" w:eastAsia="zh-CN"/>
        </w:rPr>
        <w:t>本节通过对相关的典型事故、案例的总结与分析，借鉴</w:t>
      </w:r>
      <w:r>
        <w:rPr>
          <w:rFonts w:hint="eastAsia"/>
          <w:lang w:val="en-US" w:eastAsia="zh-CN"/>
        </w:rPr>
        <w:t>以往事故</w:t>
      </w:r>
      <w:r>
        <w:rPr>
          <w:rFonts w:hint="default"/>
          <w:lang w:val="en-US" w:eastAsia="zh-CN"/>
        </w:rPr>
        <w:t>经验教训，使企业在今后生产运行、装置检测维修中能预知、预测、分析危险，进而限制、控制、消除危险，保障装置的正常运行和企业的安全生产。</w:t>
      </w:r>
    </w:p>
    <w:p w14:paraId="62DD2714">
      <w:pPr>
        <w:rPr>
          <w:rFonts w:hint="default"/>
          <w:lang w:val="en-US" w:eastAsia="zh-CN"/>
        </w:rPr>
      </w:pPr>
      <w:r>
        <w:rPr>
          <w:rFonts w:hint="default"/>
          <w:lang w:val="en-US" w:eastAsia="zh-CN"/>
        </w:rPr>
        <w:t>案例1：</w:t>
      </w:r>
    </w:p>
    <w:p w14:paraId="7BDB6E56">
      <w:pPr>
        <w:rPr>
          <w:rFonts w:hint="default"/>
          <w:lang w:val="en-US" w:eastAsia="zh-CN"/>
        </w:rPr>
      </w:pPr>
      <w:r>
        <w:rPr>
          <w:rFonts w:hint="default"/>
          <w:lang w:val="en-US" w:eastAsia="zh-CN"/>
        </w:rPr>
        <w:t>2008年9月8日，某石油公司下属的一加油站在安装加油机和潜油泵过程中，由于油罐人孔盖不符合安装潜油泵的条件，对油罐人孔盖进行改造，承包商某建设工程公司的施工人员，擅自用自带泵将埋地罐中的注水抽空，并在无人监控的情况下，在操作井边沿用气割对油罐法兰盘、管线短管开坡口，切割过程中，引燃油罐内残余油气发生闪爆，现场施工人员当即受伤，送医院经抢救无效死亡。</w:t>
      </w:r>
    </w:p>
    <w:p w14:paraId="33399F13">
      <w:pPr>
        <w:rPr>
          <w:rFonts w:hint="default"/>
          <w:lang w:val="en-US" w:eastAsia="zh-CN"/>
        </w:rPr>
      </w:pPr>
      <w:r>
        <w:rPr>
          <w:rFonts w:hint="default"/>
          <w:lang w:val="en-US" w:eastAsia="zh-CN"/>
        </w:rPr>
        <w:t>分析事故原因，施工单位施工人员严重违反施工安全规定，安装潜油泵过程中将油罐注水抽出，造成油罐及操作井口油气积聚。在当天无动火作业计划、没有办理动火作业票的情况下，施工人员擅自变更作业地点，在靠近油罐口的区域内进行动火作业，造成闪爆。</w:t>
      </w:r>
    </w:p>
    <w:p w14:paraId="6E079784">
      <w:pPr>
        <w:rPr>
          <w:rFonts w:hint="default"/>
          <w:lang w:val="en-US" w:eastAsia="zh-CN"/>
        </w:rPr>
      </w:pPr>
      <w:r>
        <w:rPr>
          <w:rFonts w:hint="default"/>
          <w:lang w:val="en-US" w:eastAsia="zh-CN"/>
        </w:rPr>
        <w:t>案例2：</w:t>
      </w:r>
    </w:p>
    <w:p w14:paraId="6C7E8213">
      <w:pPr>
        <w:rPr>
          <w:rFonts w:hint="default"/>
          <w:lang w:val="en-US" w:eastAsia="zh-CN"/>
        </w:rPr>
      </w:pPr>
      <w:r>
        <w:rPr>
          <w:rFonts w:hint="default"/>
          <w:lang w:val="en-US" w:eastAsia="zh-CN"/>
        </w:rPr>
        <w:t>1999年5月19日，一辆客货车到加油站加油，当加油员给该车油箱加满后，车主为凑足100元的油款，要求将剩余的70号汽油用加油枪直接注入容量25kg的塑料桶内，塑料桶就在客货车旁边。当油品注到塑料桶2/3时，由于产生静电，</w:t>
      </w:r>
      <w:r>
        <w:rPr>
          <w:rFonts w:hint="eastAsia" w:ascii="宋体" w:hAnsi="宋体" w:eastAsia="宋体" w:cs="宋体"/>
          <w:lang w:val="en-US" w:eastAsia="zh-CN"/>
        </w:rPr>
        <w:t>“砰”</w:t>
      </w:r>
      <w:r>
        <w:rPr>
          <w:rFonts w:hint="default"/>
          <w:lang w:val="en-US" w:eastAsia="zh-CN"/>
        </w:rPr>
        <w:t>的一声，燃起大火，大火将塑料桶烧毁，满地的火源，又把客货车燃着，此时一位加油员拨打110报警。同时，另一位加油员开始操纵35kg干粉灭火器灭火，但由于对灭火器性能掌握不熟练，未能灭火。当客货车被全部烧着后又把5m高的雨棚引燃，39.6m</w:t>
      </w:r>
      <w:r>
        <w:rPr>
          <w:rFonts w:hint="default"/>
          <w:vertAlign w:val="superscript"/>
          <w:lang w:val="en-US" w:eastAsia="zh-CN"/>
        </w:rPr>
        <w:t>2</w:t>
      </w:r>
      <w:r>
        <w:rPr>
          <w:rFonts w:hint="default"/>
          <w:lang w:val="en-US" w:eastAsia="zh-CN"/>
        </w:rPr>
        <w:t>铝塑封檐板，5.6m</w:t>
      </w:r>
      <w:r>
        <w:rPr>
          <w:rFonts w:hint="default"/>
          <w:vertAlign w:val="superscript"/>
          <w:lang w:val="en-US" w:eastAsia="zh-CN"/>
        </w:rPr>
        <w:t>2</w:t>
      </w:r>
      <w:r>
        <w:rPr>
          <w:rFonts w:hint="default"/>
          <w:lang w:val="en-US" w:eastAsia="zh-CN"/>
        </w:rPr>
        <w:t>的雨棚镀锌钢柱板、两台电脑加油机、雨棚内射灯和部分线路、12m</w:t>
      </w:r>
      <w:r>
        <w:rPr>
          <w:rFonts w:hint="default"/>
          <w:vertAlign w:val="superscript"/>
          <w:lang w:val="en-US" w:eastAsia="zh-CN"/>
        </w:rPr>
        <w:t>2</w:t>
      </w:r>
      <w:r>
        <w:rPr>
          <w:rFonts w:hint="default"/>
          <w:lang w:val="en-US" w:eastAsia="zh-CN"/>
        </w:rPr>
        <w:t>铝合金开票收款厅、1台35kg干粉灭火器全部烧毁，直接经济损失达2309万元。</w:t>
      </w:r>
    </w:p>
    <w:p w14:paraId="63B5EA63">
      <w:pPr>
        <w:rPr>
          <w:rFonts w:hint="default"/>
          <w:lang w:val="en-US" w:eastAsia="zh-CN"/>
        </w:rPr>
      </w:pPr>
      <w:r>
        <w:rPr>
          <w:rFonts w:hint="default"/>
          <w:lang w:val="en-US" w:eastAsia="zh-CN"/>
        </w:rPr>
        <w:t>事后分析着火原因，一是违反安全管理制度，用加油枪直接向塑料桶容器内灌装汽油，静电引起爆燃。二是岗位职工不会使用干粉灭火器，延误了扑灭初起火灾的最佳时间。三是安全管理不严，管理不到位，职工安全意识淡薄，安全生产责任制和安全操作规程不落实。</w:t>
      </w:r>
    </w:p>
    <w:p w14:paraId="65AFEC6D">
      <w:pPr>
        <w:rPr>
          <w:rFonts w:hint="default"/>
          <w:lang w:val="en-US" w:eastAsia="zh-CN"/>
        </w:rPr>
      </w:pPr>
    </w:p>
    <w:p w14:paraId="5C4564CD">
      <w:pPr>
        <w:rPr>
          <w:rFonts w:hint="default"/>
          <w:lang w:val="en-US" w:eastAsia="zh-CN"/>
        </w:rPr>
      </w:pPr>
      <w:r>
        <w:rPr>
          <w:rFonts w:hint="default"/>
          <w:lang w:val="en-US" w:eastAsia="zh-CN"/>
        </w:rPr>
        <w:br w:type="page"/>
      </w:r>
    </w:p>
    <w:p w14:paraId="0B77C34C">
      <w:pPr>
        <w:pStyle w:val="2"/>
        <w:numPr>
          <w:ilvl w:val="0"/>
          <w:numId w:val="1"/>
        </w:numPr>
        <w:bidi w:val="0"/>
        <w:ind w:left="0" w:leftChars="0" w:firstLine="0" w:firstLineChars="0"/>
        <w:rPr>
          <w:rFonts w:hint="default"/>
          <w:color w:val="auto"/>
          <w:lang w:val="en-US" w:eastAsia="zh-CN"/>
        </w:rPr>
      </w:pPr>
      <w:bookmarkStart w:id="81" w:name="_Toc19262"/>
      <w:r>
        <w:rPr>
          <w:rFonts w:hint="default"/>
          <w:color w:val="auto"/>
          <w:lang w:val="en-US" w:eastAsia="zh-CN"/>
        </w:rPr>
        <w:t>建设项目安全对策措施及建议</w:t>
      </w:r>
      <w:bookmarkEnd w:id="81"/>
    </w:p>
    <w:p w14:paraId="6F370884">
      <w:pPr>
        <w:pStyle w:val="3"/>
        <w:bidi w:val="0"/>
        <w:rPr>
          <w:rFonts w:hint="default"/>
          <w:lang w:val="en-US" w:eastAsia="zh-CN"/>
        </w:rPr>
      </w:pPr>
      <w:bookmarkStart w:id="82" w:name="_Toc32359"/>
      <w:r>
        <w:rPr>
          <w:rFonts w:hint="default"/>
          <w:lang w:val="en-US" w:eastAsia="zh-CN"/>
        </w:rPr>
        <w:t>7.1 现场检查问题及整改情况</w:t>
      </w:r>
      <w:bookmarkEnd w:id="82"/>
    </w:p>
    <w:p w14:paraId="1A939CCE">
      <w:pPr>
        <w:rPr>
          <w:rFonts w:hint="default"/>
          <w:lang w:val="en-US" w:eastAsia="zh-CN"/>
        </w:rPr>
      </w:pPr>
      <w:r>
        <w:rPr>
          <w:rFonts w:hint="default"/>
          <w:lang w:val="en-US" w:eastAsia="zh-CN"/>
        </w:rPr>
        <w:t>1</w:t>
      </w:r>
      <w:r>
        <w:rPr>
          <w:rFonts w:hint="eastAsia"/>
          <w:lang w:val="en-US" w:eastAsia="zh-CN"/>
        </w:rPr>
        <w:t xml:space="preserve">. </w:t>
      </w:r>
      <w:r>
        <w:rPr>
          <w:rFonts w:hint="default"/>
          <w:lang w:val="en-US" w:eastAsia="zh-CN"/>
        </w:rPr>
        <w:t>安全隐患</w:t>
      </w:r>
    </w:p>
    <w:p w14:paraId="5CB8F6FD">
      <w:pPr>
        <w:rPr>
          <w:rFonts w:hint="default"/>
          <w:lang w:val="en-US" w:eastAsia="zh-CN"/>
        </w:rPr>
      </w:pPr>
      <w:r>
        <w:rPr>
          <w:rFonts w:hint="default"/>
          <w:lang w:val="en-US" w:eastAsia="zh-CN"/>
        </w:rPr>
        <w:t>在对项目的安全验收评价过程中，通过现场检查和查阅有关资料，发现项目在安全设施和安全措施存在的问题，并提出相应的改进措施。具体内容，见表7.1-1。</w:t>
      </w:r>
    </w:p>
    <w:p w14:paraId="7D92518C">
      <w:pPr>
        <w:ind w:left="0" w:leftChars="0" w:firstLine="0" w:firstLineChars="0"/>
        <w:jc w:val="center"/>
        <w:rPr>
          <w:rFonts w:hint="eastAsia"/>
          <w:lang w:val="en-US" w:eastAsia="zh-CN"/>
        </w:rPr>
      </w:pPr>
      <w:r>
        <w:rPr>
          <w:rFonts w:hint="default"/>
          <w:lang w:val="en-US" w:eastAsia="zh-CN"/>
        </w:rPr>
        <w:t>表7.1-1</w:t>
      </w:r>
      <w:r>
        <w:rPr>
          <w:rFonts w:hint="eastAsia"/>
          <w:lang w:val="en-US" w:eastAsia="zh-CN"/>
        </w:rPr>
        <w:t xml:space="preserve"> 存在的安全隐患或不合格项</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2"/>
        <w:gridCol w:w="3507"/>
        <w:gridCol w:w="4745"/>
      </w:tblGrid>
      <w:tr w14:paraId="4CC0A7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22" w:type="dxa"/>
            <w:noWrap w:val="0"/>
            <w:vAlign w:val="center"/>
          </w:tcPr>
          <w:p w14:paraId="1D7916CE">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Times New Roman" w:hAnsi="Times New Roman" w:eastAsia="宋体" w:cs="Times New Roman"/>
                <w:b/>
                <w:bCs/>
                <w:color w:val="auto"/>
                <w:kern w:val="18"/>
                <w:sz w:val="21"/>
                <w:szCs w:val="21"/>
                <w:lang w:val="en-US" w:eastAsia="zh-CN" w:bidi="ar-SA"/>
              </w:rPr>
            </w:pPr>
            <w:r>
              <w:rPr>
                <w:rFonts w:hint="eastAsia" w:ascii="Times New Roman" w:hAnsi="Times New Roman" w:eastAsia="宋体" w:cs="Times New Roman"/>
                <w:b/>
                <w:bCs/>
                <w:color w:val="auto"/>
                <w:kern w:val="18"/>
                <w:sz w:val="21"/>
                <w:szCs w:val="21"/>
                <w:lang w:val="en-US" w:eastAsia="zh-CN" w:bidi="ar-SA"/>
              </w:rPr>
              <w:t>序号</w:t>
            </w:r>
          </w:p>
        </w:tc>
        <w:tc>
          <w:tcPr>
            <w:tcW w:w="3507" w:type="dxa"/>
            <w:noWrap w:val="0"/>
            <w:vAlign w:val="center"/>
          </w:tcPr>
          <w:p w14:paraId="182887CD">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Times New Roman" w:hAnsi="Times New Roman" w:eastAsia="宋体" w:cs="Times New Roman"/>
                <w:b/>
                <w:bCs/>
                <w:color w:val="auto"/>
                <w:kern w:val="18"/>
                <w:sz w:val="21"/>
                <w:szCs w:val="21"/>
                <w:lang w:val="en-US" w:eastAsia="zh-CN" w:bidi="ar-SA"/>
              </w:rPr>
            </w:pPr>
            <w:r>
              <w:rPr>
                <w:rFonts w:hint="eastAsia" w:ascii="Times New Roman" w:hAnsi="Times New Roman" w:eastAsia="宋体" w:cs="Times New Roman"/>
                <w:b/>
                <w:bCs/>
                <w:color w:val="auto"/>
                <w:kern w:val="18"/>
                <w:sz w:val="21"/>
                <w:szCs w:val="21"/>
                <w:lang w:val="en-US" w:eastAsia="zh-CN" w:bidi="ar-SA"/>
              </w:rPr>
              <w:t>存在的问题</w:t>
            </w:r>
          </w:p>
        </w:tc>
        <w:tc>
          <w:tcPr>
            <w:tcW w:w="4745" w:type="dxa"/>
            <w:noWrap w:val="0"/>
            <w:vAlign w:val="center"/>
          </w:tcPr>
          <w:p w14:paraId="24392CA9">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Times New Roman" w:hAnsi="Times New Roman" w:eastAsia="宋体" w:cs="Times New Roman"/>
                <w:b/>
                <w:bCs/>
                <w:color w:val="auto"/>
                <w:kern w:val="18"/>
                <w:sz w:val="21"/>
                <w:szCs w:val="21"/>
                <w:lang w:val="en-US" w:eastAsia="zh-CN" w:bidi="ar-SA"/>
              </w:rPr>
            </w:pPr>
            <w:r>
              <w:rPr>
                <w:rFonts w:hint="eastAsia" w:ascii="Times New Roman" w:hAnsi="Times New Roman" w:eastAsia="宋体" w:cs="Times New Roman"/>
                <w:b/>
                <w:bCs/>
                <w:color w:val="auto"/>
                <w:kern w:val="18"/>
                <w:sz w:val="21"/>
                <w:szCs w:val="21"/>
                <w:lang w:val="en-US" w:eastAsia="zh-CN" w:bidi="ar-SA"/>
              </w:rPr>
              <w:t>整改建议</w:t>
            </w:r>
          </w:p>
        </w:tc>
      </w:tr>
      <w:tr w14:paraId="0CB321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722" w:type="dxa"/>
            <w:noWrap w:val="0"/>
            <w:vAlign w:val="center"/>
          </w:tcPr>
          <w:p w14:paraId="3C5AACCB">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1</w:t>
            </w:r>
          </w:p>
        </w:tc>
        <w:tc>
          <w:tcPr>
            <w:tcW w:w="3507" w:type="dxa"/>
            <w:noWrap w:val="0"/>
            <w:vAlign w:val="center"/>
          </w:tcPr>
          <w:p w14:paraId="44808BA2">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default" w:eastAsia="宋体"/>
                <w:b/>
                <w:bCs/>
                <w:color w:val="0000FF"/>
                <w:highlight w:val="yellow"/>
                <w:lang w:val="en-US" w:eastAsia="zh-CN"/>
              </w:rPr>
            </w:pPr>
            <w:r>
              <w:rPr>
                <w:rFonts w:hint="eastAsia"/>
              </w:rPr>
              <w:t>撬装式加油装置外壳与接地扁铁焊接处未做防腐处理</w:t>
            </w:r>
          </w:p>
        </w:tc>
        <w:tc>
          <w:tcPr>
            <w:tcW w:w="4745" w:type="dxa"/>
            <w:noWrap w:val="0"/>
            <w:vAlign w:val="center"/>
          </w:tcPr>
          <w:p w14:paraId="39094687">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default"/>
                <w:b/>
                <w:bCs/>
                <w:color w:val="0000FF"/>
                <w:highlight w:val="yellow"/>
                <w:lang w:val="en-US"/>
              </w:rPr>
            </w:pPr>
            <w:r>
              <w:rPr>
                <w:rFonts w:hint="eastAsia"/>
                <w:lang w:val="en-US" w:eastAsia="zh-CN"/>
              </w:rPr>
              <w:t>使用环氧防腐面漆进行防腐施工</w:t>
            </w:r>
          </w:p>
        </w:tc>
      </w:tr>
      <w:tr w14:paraId="1EB961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722" w:type="dxa"/>
            <w:noWrap w:val="0"/>
            <w:vAlign w:val="center"/>
          </w:tcPr>
          <w:p w14:paraId="1BCC9247">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2</w:t>
            </w:r>
          </w:p>
        </w:tc>
        <w:tc>
          <w:tcPr>
            <w:tcW w:w="3507" w:type="dxa"/>
            <w:noWrap w:val="0"/>
            <w:vAlign w:val="center"/>
          </w:tcPr>
          <w:p w14:paraId="3CE92261">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Times New Roman" w:hAnsi="Times New Roman" w:eastAsia="宋体" w:cs="Times New Roman"/>
                <w:b/>
                <w:bCs/>
                <w:color w:val="0000FF"/>
                <w:kern w:val="18"/>
                <w:sz w:val="21"/>
                <w:szCs w:val="21"/>
                <w:lang w:val="en-US" w:eastAsia="zh-CN" w:bidi="ar-SA"/>
              </w:rPr>
            </w:pPr>
            <w:r>
              <w:rPr>
                <w:rFonts w:hint="default"/>
                <w:lang w:val="en-US" w:eastAsia="zh-CN"/>
              </w:rPr>
              <w:t>自用撬装加油装置</w:t>
            </w:r>
            <w:r>
              <w:rPr>
                <w:rFonts w:hint="eastAsia"/>
                <w:lang w:val="en-US" w:eastAsia="zh-CN"/>
              </w:rPr>
              <w:t>附近未设置减速带、限速标牌</w:t>
            </w:r>
          </w:p>
        </w:tc>
        <w:tc>
          <w:tcPr>
            <w:tcW w:w="4745" w:type="dxa"/>
            <w:noWrap w:val="0"/>
            <w:vAlign w:val="center"/>
          </w:tcPr>
          <w:p w14:paraId="24D7167A">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Times New Roman" w:hAnsi="Times New Roman" w:eastAsia="宋体" w:cs="Times New Roman"/>
                <w:b/>
                <w:bCs/>
                <w:color w:val="0000FF"/>
                <w:kern w:val="18"/>
                <w:sz w:val="21"/>
                <w:szCs w:val="21"/>
                <w:lang w:val="en-US" w:eastAsia="zh-CN" w:bidi="ar-SA"/>
              </w:rPr>
            </w:pPr>
            <w:r>
              <w:rPr>
                <w:rFonts w:hint="eastAsia"/>
                <w:lang w:val="en-US" w:eastAsia="zh-CN"/>
              </w:rPr>
              <w:t>在</w:t>
            </w:r>
            <w:r>
              <w:rPr>
                <w:rFonts w:hint="default"/>
                <w:lang w:val="en-US" w:eastAsia="zh-CN"/>
              </w:rPr>
              <w:t>自用撬装加油装置</w:t>
            </w:r>
            <w:r>
              <w:rPr>
                <w:rFonts w:hint="eastAsia"/>
                <w:lang w:val="en-US" w:eastAsia="zh-CN"/>
              </w:rPr>
              <w:t>附近设置减速带、限速标牌</w:t>
            </w:r>
          </w:p>
        </w:tc>
      </w:tr>
      <w:tr w14:paraId="2012DC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722" w:type="dxa"/>
            <w:noWrap w:val="0"/>
            <w:vAlign w:val="center"/>
          </w:tcPr>
          <w:p w14:paraId="75D2E545">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default" w:ascii="Times New Roman" w:hAnsi="Times New Roman" w:eastAsia="宋体" w:cs="Times New Roman"/>
                <w:color w:val="auto"/>
                <w:kern w:val="18"/>
                <w:sz w:val="21"/>
                <w:szCs w:val="21"/>
                <w:lang w:val="en-US" w:eastAsia="zh-CN" w:bidi="ar-SA"/>
              </w:rPr>
            </w:pPr>
            <w:r>
              <w:rPr>
                <w:rFonts w:hint="eastAsia" w:ascii="Times New Roman" w:hAnsi="Times New Roman" w:eastAsia="宋体" w:cs="Times New Roman"/>
                <w:color w:val="auto"/>
                <w:kern w:val="18"/>
                <w:sz w:val="21"/>
                <w:szCs w:val="21"/>
                <w:lang w:val="en-US" w:eastAsia="zh-CN" w:bidi="ar-SA"/>
              </w:rPr>
              <w:t>3</w:t>
            </w:r>
          </w:p>
        </w:tc>
        <w:tc>
          <w:tcPr>
            <w:tcW w:w="3507" w:type="dxa"/>
            <w:noWrap w:val="0"/>
            <w:vAlign w:val="center"/>
          </w:tcPr>
          <w:p w14:paraId="5FB19258">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Times New Roman" w:hAnsi="Times New Roman" w:eastAsia="宋体" w:cs="Times New Roman"/>
                <w:b/>
                <w:bCs/>
                <w:color w:val="0000FF"/>
                <w:kern w:val="18"/>
                <w:sz w:val="21"/>
                <w:szCs w:val="21"/>
                <w:lang w:val="en-US" w:eastAsia="zh-CN" w:bidi="ar-SA"/>
              </w:rPr>
            </w:pPr>
            <w:r>
              <w:rPr>
                <w:rFonts w:hint="eastAsia"/>
                <w:color w:val="auto"/>
                <w:lang w:val="en-US" w:eastAsia="zh-CN"/>
              </w:rPr>
              <w:t>现场未见UPS电备用电源</w:t>
            </w:r>
          </w:p>
        </w:tc>
        <w:tc>
          <w:tcPr>
            <w:tcW w:w="4745" w:type="dxa"/>
            <w:noWrap w:val="0"/>
            <w:vAlign w:val="center"/>
          </w:tcPr>
          <w:p w14:paraId="34DD29CC">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default" w:ascii="Times New Roman" w:hAnsi="Times New Roman" w:eastAsia="宋体" w:cs="Times New Roman"/>
                <w:b/>
                <w:bCs/>
                <w:color w:val="0000FF"/>
                <w:kern w:val="18"/>
                <w:sz w:val="21"/>
                <w:szCs w:val="21"/>
                <w:lang w:val="en-US" w:eastAsia="zh-CN" w:bidi="ar-SA"/>
              </w:rPr>
            </w:pPr>
            <w:r>
              <w:rPr>
                <w:rFonts w:hint="eastAsia"/>
                <w:color w:val="auto"/>
                <w:lang w:val="en-US" w:eastAsia="zh-CN"/>
              </w:rPr>
              <w:t>按设计要求进行配置</w:t>
            </w:r>
          </w:p>
        </w:tc>
      </w:tr>
      <w:tr w14:paraId="56EEE3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722" w:type="dxa"/>
            <w:noWrap w:val="0"/>
            <w:vAlign w:val="center"/>
          </w:tcPr>
          <w:p w14:paraId="5D659A52">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default" w:ascii="Times New Roman" w:hAnsi="Times New Roman" w:eastAsia="宋体" w:cs="Times New Roman"/>
                <w:color w:val="auto"/>
                <w:kern w:val="18"/>
                <w:sz w:val="21"/>
                <w:szCs w:val="21"/>
                <w:lang w:val="en-US" w:eastAsia="zh-CN" w:bidi="ar-SA"/>
              </w:rPr>
            </w:pPr>
            <w:r>
              <w:rPr>
                <w:rFonts w:hint="eastAsia" w:cs="Times New Roman"/>
                <w:color w:val="auto"/>
                <w:kern w:val="18"/>
                <w:sz w:val="21"/>
                <w:szCs w:val="21"/>
                <w:lang w:val="en-US" w:eastAsia="zh-CN" w:bidi="ar-SA"/>
              </w:rPr>
              <w:t>4</w:t>
            </w:r>
          </w:p>
        </w:tc>
        <w:tc>
          <w:tcPr>
            <w:tcW w:w="3507" w:type="dxa"/>
            <w:noWrap w:val="0"/>
            <w:vAlign w:val="center"/>
          </w:tcPr>
          <w:p w14:paraId="67F42A70">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Times New Roman" w:hAnsi="Times New Roman" w:eastAsia="宋体" w:cs="Times New Roman"/>
                <w:b/>
                <w:bCs/>
                <w:color w:val="0000FF"/>
                <w:kern w:val="18"/>
                <w:sz w:val="21"/>
                <w:szCs w:val="21"/>
                <w:lang w:val="en-US" w:eastAsia="zh-CN" w:bidi="ar-SA"/>
              </w:rPr>
            </w:pPr>
            <w:r>
              <w:t>撬装加油装置</w:t>
            </w:r>
            <w:r>
              <w:rPr>
                <w:rFonts w:hint="eastAsia"/>
                <w:lang w:val="en-US" w:eastAsia="zh-CN"/>
              </w:rPr>
              <w:t>未见应急照明</w:t>
            </w:r>
          </w:p>
        </w:tc>
        <w:tc>
          <w:tcPr>
            <w:tcW w:w="4745" w:type="dxa"/>
            <w:noWrap w:val="0"/>
            <w:vAlign w:val="center"/>
          </w:tcPr>
          <w:p w14:paraId="4F5CE8D9">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Times New Roman" w:hAnsi="Times New Roman" w:eastAsia="宋体" w:cs="Times New Roman"/>
                <w:b/>
                <w:bCs/>
                <w:color w:val="0000FF"/>
                <w:kern w:val="18"/>
                <w:sz w:val="21"/>
                <w:szCs w:val="21"/>
                <w:lang w:val="en-US" w:eastAsia="zh-CN" w:bidi="ar-SA"/>
              </w:rPr>
            </w:pPr>
            <w:r>
              <w:rPr>
                <w:rFonts w:hint="eastAsia"/>
                <w:lang w:val="en-US" w:eastAsia="zh-CN"/>
              </w:rPr>
              <w:t>配备应急照明，持续工作时间应大于90min。</w:t>
            </w:r>
          </w:p>
        </w:tc>
      </w:tr>
      <w:tr w14:paraId="5AA75F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722" w:type="dxa"/>
            <w:noWrap w:val="0"/>
            <w:vAlign w:val="center"/>
          </w:tcPr>
          <w:p w14:paraId="581F5531">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default" w:ascii="Times New Roman" w:hAnsi="Times New Roman" w:eastAsia="宋体" w:cs="Times New Roman"/>
                <w:color w:val="auto"/>
                <w:kern w:val="18"/>
                <w:sz w:val="21"/>
                <w:szCs w:val="21"/>
                <w:lang w:val="en-US" w:eastAsia="zh-CN" w:bidi="ar-SA"/>
              </w:rPr>
            </w:pPr>
            <w:r>
              <w:rPr>
                <w:rFonts w:hint="eastAsia" w:cs="Times New Roman"/>
                <w:color w:val="auto"/>
                <w:kern w:val="18"/>
                <w:sz w:val="21"/>
                <w:szCs w:val="21"/>
                <w:lang w:val="en-US" w:eastAsia="zh-CN" w:bidi="ar-SA"/>
              </w:rPr>
              <w:t>5</w:t>
            </w:r>
          </w:p>
        </w:tc>
        <w:tc>
          <w:tcPr>
            <w:tcW w:w="3507" w:type="dxa"/>
            <w:noWrap w:val="0"/>
            <w:vAlign w:val="center"/>
          </w:tcPr>
          <w:p w14:paraId="7EE318FE">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Times New Roman" w:hAnsi="Times New Roman" w:eastAsia="宋体" w:cs="Times New Roman"/>
                <w:b/>
                <w:bCs/>
                <w:color w:val="0000FF"/>
                <w:kern w:val="18"/>
                <w:sz w:val="21"/>
                <w:szCs w:val="21"/>
                <w:lang w:val="en-US" w:eastAsia="zh-CN" w:bidi="ar-SA"/>
              </w:rPr>
            </w:pPr>
            <w:r>
              <w:rPr>
                <w:rFonts w:hint="eastAsia"/>
                <w:lang w:val="en-US" w:eastAsia="zh-CN"/>
              </w:rPr>
              <w:t>视频监控数量不足，设计要求设置3台，实际现场只有1台</w:t>
            </w:r>
          </w:p>
        </w:tc>
        <w:tc>
          <w:tcPr>
            <w:tcW w:w="4745" w:type="dxa"/>
            <w:noWrap w:val="0"/>
            <w:vAlign w:val="center"/>
          </w:tcPr>
          <w:p w14:paraId="117D639B">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Times New Roman" w:hAnsi="Times New Roman" w:eastAsia="宋体" w:cs="Times New Roman"/>
                <w:b/>
                <w:bCs/>
                <w:color w:val="0000FF"/>
                <w:kern w:val="18"/>
                <w:sz w:val="21"/>
                <w:szCs w:val="21"/>
                <w:lang w:val="en-US" w:eastAsia="zh-CN" w:bidi="ar-SA"/>
              </w:rPr>
            </w:pPr>
            <w:r>
              <w:rPr>
                <w:rFonts w:hint="eastAsia"/>
                <w:lang w:val="en-US" w:eastAsia="zh-CN"/>
              </w:rPr>
              <w:t>按设计要求安装视频监控探头。</w:t>
            </w:r>
          </w:p>
        </w:tc>
      </w:tr>
      <w:tr w14:paraId="446F87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722" w:type="dxa"/>
            <w:noWrap w:val="0"/>
            <w:vAlign w:val="center"/>
          </w:tcPr>
          <w:p w14:paraId="40E80A60">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default" w:ascii="Times New Roman" w:hAnsi="Times New Roman" w:eastAsia="宋体" w:cs="Times New Roman"/>
                <w:color w:val="auto"/>
                <w:kern w:val="18"/>
                <w:sz w:val="21"/>
                <w:szCs w:val="21"/>
                <w:lang w:val="en-US" w:eastAsia="zh-CN" w:bidi="ar-SA"/>
              </w:rPr>
            </w:pPr>
            <w:r>
              <w:rPr>
                <w:rFonts w:hint="eastAsia" w:cs="Times New Roman"/>
                <w:color w:val="auto"/>
                <w:kern w:val="18"/>
                <w:sz w:val="21"/>
                <w:szCs w:val="21"/>
                <w:lang w:val="en-US" w:eastAsia="zh-CN" w:bidi="ar-SA"/>
              </w:rPr>
              <w:t>6</w:t>
            </w:r>
          </w:p>
        </w:tc>
        <w:tc>
          <w:tcPr>
            <w:tcW w:w="3507" w:type="dxa"/>
            <w:noWrap w:val="0"/>
            <w:vAlign w:val="center"/>
          </w:tcPr>
          <w:p w14:paraId="23A6E0C0">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Times New Roman" w:hAnsi="Times New Roman" w:eastAsia="宋体" w:cs="Times New Roman"/>
                <w:b/>
                <w:bCs/>
                <w:color w:val="0000FF"/>
                <w:kern w:val="18"/>
                <w:sz w:val="21"/>
                <w:szCs w:val="21"/>
                <w:lang w:val="en-US" w:eastAsia="zh-CN" w:bidi="ar-SA"/>
              </w:rPr>
            </w:pPr>
            <w:r>
              <w:rPr>
                <w:rFonts w:hint="default"/>
                <w:lang w:val="en-US" w:eastAsia="zh-CN"/>
              </w:rPr>
              <w:t>自用撬装加油装置四周</w:t>
            </w:r>
            <w:r>
              <w:rPr>
                <w:rFonts w:hint="eastAsia"/>
                <w:lang w:val="en-US" w:eastAsia="zh-CN"/>
              </w:rPr>
              <w:t>未按设计要求</w:t>
            </w:r>
            <w:r>
              <w:rPr>
                <w:rFonts w:hint="default"/>
                <w:lang w:val="en-US" w:eastAsia="zh-CN"/>
              </w:rPr>
              <w:t>设置防撞柱</w:t>
            </w:r>
          </w:p>
        </w:tc>
        <w:tc>
          <w:tcPr>
            <w:tcW w:w="4745" w:type="dxa"/>
            <w:noWrap w:val="0"/>
            <w:vAlign w:val="center"/>
          </w:tcPr>
          <w:p w14:paraId="6C3005AC">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Times New Roman" w:hAnsi="Times New Roman" w:eastAsia="宋体" w:cs="Times New Roman"/>
                <w:b/>
                <w:bCs/>
                <w:color w:val="0000FF"/>
                <w:kern w:val="18"/>
                <w:sz w:val="21"/>
                <w:szCs w:val="21"/>
                <w:lang w:val="en-US" w:eastAsia="zh-CN" w:bidi="ar-SA"/>
              </w:rPr>
            </w:pPr>
            <w:r>
              <w:rPr>
                <w:rFonts w:hint="eastAsia"/>
                <w:color w:val="auto"/>
                <w:lang w:val="en-US" w:eastAsia="zh-CN"/>
              </w:rPr>
              <w:t>按设计要求进行设置</w:t>
            </w:r>
            <w:r>
              <w:rPr>
                <w:rFonts w:hint="default"/>
                <w:lang w:val="en-US" w:eastAsia="zh-CN"/>
              </w:rPr>
              <w:t>防撞柱</w:t>
            </w:r>
            <w:r>
              <w:rPr>
                <w:rFonts w:hint="eastAsia"/>
                <w:lang w:val="en-US" w:eastAsia="zh-CN"/>
              </w:rPr>
              <w:t>。</w:t>
            </w:r>
          </w:p>
        </w:tc>
      </w:tr>
      <w:tr w14:paraId="01DBEA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722" w:type="dxa"/>
            <w:noWrap w:val="0"/>
            <w:vAlign w:val="center"/>
          </w:tcPr>
          <w:p w14:paraId="6F93900E">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default" w:ascii="Times New Roman" w:hAnsi="Times New Roman" w:eastAsia="宋体" w:cs="Times New Roman"/>
                <w:color w:val="auto"/>
                <w:kern w:val="18"/>
                <w:sz w:val="21"/>
                <w:szCs w:val="21"/>
                <w:lang w:val="en-US" w:eastAsia="zh-CN" w:bidi="ar-SA"/>
              </w:rPr>
            </w:pPr>
            <w:r>
              <w:rPr>
                <w:rFonts w:hint="eastAsia" w:cs="Times New Roman"/>
                <w:color w:val="auto"/>
                <w:kern w:val="18"/>
                <w:sz w:val="21"/>
                <w:szCs w:val="21"/>
                <w:lang w:val="en-US" w:eastAsia="zh-CN" w:bidi="ar-SA"/>
              </w:rPr>
              <w:t>7</w:t>
            </w:r>
          </w:p>
        </w:tc>
        <w:tc>
          <w:tcPr>
            <w:tcW w:w="3507" w:type="dxa"/>
            <w:noWrap w:val="0"/>
            <w:vAlign w:val="center"/>
          </w:tcPr>
          <w:p w14:paraId="1A85D5F5">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Times New Roman" w:hAnsi="Times New Roman" w:eastAsia="宋体" w:cs="Times New Roman"/>
                <w:b/>
                <w:bCs/>
                <w:color w:val="0000FF"/>
                <w:kern w:val="18"/>
                <w:sz w:val="21"/>
                <w:szCs w:val="21"/>
                <w:lang w:val="en-US" w:eastAsia="zh-CN" w:bidi="ar-SA"/>
              </w:rPr>
            </w:pPr>
            <w:r>
              <w:rPr>
                <w:rFonts w:hint="eastAsia"/>
                <w:color w:val="auto"/>
                <w:lang w:val="en-US" w:eastAsia="zh-CN"/>
              </w:rPr>
              <w:t>现场</w:t>
            </w:r>
            <w:r>
              <w:rPr>
                <w:rFonts w:hint="eastAsia"/>
                <w:lang w:val="en-US" w:eastAsia="zh-CN"/>
              </w:rPr>
              <w:t>缺少</w:t>
            </w:r>
            <w:r>
              <w:rPr>
                <w:rFonts w:hint="eastAsia"/>
                <w:color w:val="auto"/>
                <w:lang w:val="en-US" w:eastAsia="zh-CN"/>
              </w:rPr>
              <w:t>“警告标志”</w:t>
            </w:r>
          </w:p>
        </w:tc>
        <w:tc>
          <w:tcPr>
            <w:tcW w:w="4745" w:type="dxa"/>
            <w:noWrap w:val="0"/>
            <w:vAlign w:val="center"/>
          </w:tcPr>
          <w:p w14:paraId="3C51E287">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Times New Roman" w:hAnsi="Times New Roman" w:eastAsia="宋体" w:cs="Times New Roman"/>
                <w:b/>
                <w:bCs/>
                <w:color w:val="0000FF"/>
                <w:kern w:val="18"/>
                <w:sz w:val="21"/>
                <w:szCs w:val="21"/>
                <w:lang w:val="en-US" w:eastAsia="zh-CN" w:bidi="ar-SA"/>
              </w:rPr>
            </w:pPr>
            <w:r>
              <w:rPr>
                <w:rFonts w:hint="eastAsia"/>
                <w:color w:val="auto"/>
                <w:lang w:val="en-US" w:eastAsia="zh-CN"/>
              </w:rPr>
              <w:t>加、卸油作业区，增加“注意安全”、“当心爆炸”、“当心火灾”“当心车辆”标志</w:t>
            </w:r>
          </w:p>
        </w:tc>
      </w:tr>
      <w:tr w14:paraId="4334BD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722" w:type="dxa"/>
            <w:noWrap w:val="0"/>
            <w:vAlign w:val="center"/>
          </w:tcPr>
          <w:p w14:paraId="020FA91F">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default" w:ascii="Times New Roman" w:hAnsi="Times New Roman" w:eastAsia="宋体" w:cs="Times New Roman"/>
                <w:color w:val="auto"/>
                <w:kern w:val="18"/>
                <w:sz w:val="21"/>
                <w:szCs w:val="21"/>
                <w:lang w:val="en-US" w:eastAsia="zh-CN" w:bidi="ar-SA"/>
              </w:rPr>
            </w:pPr>
            <w:r>
              <w:rPr>
                <w:rFonts w:hint="eastAsia" w:cs="Times New Roman"/>
                <w:color w:val="auto"/>
                <w:kern w:val="18"/>
                <w:sz w:val="21"/>
                <w:szCs w:val="21"/>
                <w:lang w:val="en-US" w:eastAsia="zh-CN" w:bidi="ar-SA"/>
              </w:rPr>
              <w:t>8</w:t>
            </w:r>
          </w:p>
        </w:tc>
        <w:tc>
          <w:tcPr>
            <w:tcW w:w="3507" w:type="dxa"/>
            <w:noWrap w:val="0"/>
            <w:vAlign w:val="center"/>
          </w:tcPr>
          <w:p w14:paraId="1CF55CC4">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Times New Roman" w:hAnsi="Times New Roman" w:eastAsia="宋体" w:cs="Times New Roman"/>
                <w:b/>
                <w:bCs/>
                <w:color w:val="0000FF"/>
                <w:kern w:val="18"/>
                <w:sz w:val="21"/>
                <w:szCs w:val="21"/>
                <w:lang w:val="en-US" w:eastAsia="zh-CN" w:bidi="ar-SA"/>
              </w:rPr>
            </w:pPr>
            <w:r>
              <w:rPr>
                <w:rFonts w:hint="eastAsia"/>
                <w:color w:val="auto"/>
                <w:lang w:val="en-US" w:eastAsia="zh-CN"/>
              </w:rPr>
              <w:t>缺少个体防护装备</w:t>
            </w:r>
          </w:p>
        </w:tc>
        <w:tc>
          <w:tcPr>
            <w:tcW w:w="4745" w:type="dxa"/>
            <w:noWrap w:val="0"/>
            <w:vAlign w:val="center"/>
          </w:tcPr>
          <w:p w14:paraId="4D5DA461">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Times New Roman" w:hAnsi="Times New Roman" w:eastAsia="宋体" w:cs="Times New Roman"/>
                <w:b/>
                <w:bCs/>
                <w:color w:val="0000FF"/>
                <w:kern w:val="18"/>
                <w:sz w:val="21"/>
                <w:szCs w:val="21"/>
                <w:lang w:val="en-US" w:eastAsia="zh-CN" w:bidi="ar-SA"/>
              </w:rPr>
            </w:pPr>
            <w:r>
              <w:rPr>
                <w:rFonts w:hint="eastAsia"/>
                <w:color w:val="auto"/>
                <w:lang w:val="en-US" w:eastAsia="zh-CN"/>
              </w:rPr>
              <w:t>配备适量工作服、防护手套、安全鞋、安全帽、职业性面部防护面具</w:t>
            </w:r>
          </w:p>
        </w:tc>
      </w:tr>
      <w:tr w14:paraId="32329A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722" w:type="dxa"/>
            <w:noWrap w:val="0"/>
            <w:vAlign w:val="center"/>
          </w:tcPr>
          <w:p w14:paraId="450EC740">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default" w:ascii="Times New Roman" w:hAnsi="Times New Roman" w:eastAsia="宋体" w:cs="Times New Roman"/>
                <w:color w:val="auto"/>
                <w:kern w:val="18"/>
                <w:sz w:val="21"/>
                <w:szCs w:val="21"/>
                <w:lang w:val="en-US" w:eastAsia="zh-CN" w:bidi="ar-SA"/>
              </w:rPr>
            </w:pPr>
            <w:r>
              <w:rPr>
                <w:rFonts w:hint="eastAsia" w:cs="Times New Roman"/>
                <w:color w:val="auto"/>
                <w:kern w:val="18"/>
                <w:sz w:val="21"/>
                <w:szCs w:val="21"/>
                <w:lang w:val="en-US" w:eastAsia="zh-CN" w:bidi="ar-SA"/>
              </w:rPr>
              <w:t>9</w:t>
            </w:r>
          </w:p>
        </w:tc>
        <w:tc>
          <w:tcPr>
            <w:tcW w:w="3507" w:type="dxa"/>
            <w:noWrap w:val="0"/>
            <w:vAlign w:val="center"/>
          </w:tcPr>
          <w:p w14:paraId="11C4FAA0">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Times New Roman" w:hAnsi="Times New Roman" w:eastAsia="宋体" w:cs="Times New Roman"/>
                <w:b/>
                <w:bCs/>
                <w:color w:val="0000FF"/>
                <w:kern w:val="18"/>
                <w:sz w:val="21"/>
                <w:szCs w:val="21"/>
                <w:lang w:val="en-US" w:eastAsia="zh-CN" w:bidi="ar-SA"/>
              </w:rPr>
            </w:pPr>
            <w:r>
              <w:rPr>
                <w:rFonts w:hint="eastAsia"/>
                <w:color w:val="auto"/>
                <w:lang w:val="en-US" w:eastAsia="zh-CN"/>
              </w:rPr>
              <w:t>消防设施不符合要求</w:t>
            </w:r>
          </w:p>
        </w:tc>
        <w:tc>
          <w:tcPr>
            <w:tcW w:w="4745" w:type="dxa"/>
            <w:noWrap w:val="0"/>
            <w:vAlign w:val="center"/>
          </w:tcPr>
          <w:p w14:paraId="58F218F0">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Times New Roman" w:hAnsi="Times New Roman" w:eastAsia="宋体" w:cs="Times New Roman"/>
                <w:b/>
                <w:bCs/>
                <w:color w:val="0000FF"/>
                <w:kern w:val="18"/>
                <w:sz w:val="21"/>
                <w:szCs w:val="21"/>
                <w:lang w:val="en-US" w:eastAsia="zh-CN" w:bidi="ar-SA"/>
              </w:rPr>
            </w:pPr>
            <w:r>
              <w:rPr>
                <w:rFonts w:hint="eastAsia"/>
                <w:color w:val="auto"/>
                <w:lang w:val="en-US" w:eastAsia="zh-CN"/>
              </w:rPr>
              <w:t>按设计要求设置消防器材</w:t>
            </w:r>
          </w:p>
        </w:tc>
      </w:tr>
      <w:tr w14:paraId="3254D5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722" w:type="dxa"/>
            <w:noWrap w:val="0"/>
            <w:vAlign w:val="center"/>
          </w:tcPr>
          <w:p w14:paraId="3AE76F8C">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default" w:ascii="Times New Roman" w:hAnsi="Times New Roman" w:eastAsia="宋体" w:cs="Times New Roman"/>
                <w:color w:val="auto"/>
                <w:kern w:val="18"/>
                <w:sz w:val="21"/>
                <w:szCs w:val="21"/>
                <w:lang w:val="en-US" w:eastAsia="zh-CN" w:bidi="ar-SA"/>
              </w:rPr>
            </w:pPr>
            <w:r>
              <w:rPr>
                <w:rFonts w:hint="eastAsia" w:cs="Times New Roman"/>
                <w:color w:val="auto"/>
                <w:kern w:val="18"/>
                <w:sz w:val="21"/>
                <w:szCs w:val="21"/>
                <w:lang w:val="en-US" w:eastAsia="zh-CN" w:bidi="ar-SA"/>
              </w:rPr>
              <w:t>10</w:t>
            </w:r>
          </w:p>
        </w:tc>
        <w:tc>
          <w:tcPr>
            <w:tcW w:w="3507" w:type="dxa"/>
            <w:noWrap w:val="0"/>
            <w:vAlign w:val="center"/>
          </w:tcPr>
          <w:p w14:paraId="076963D9">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Times New Roman" w:hAnsi="Times New Roman" w:eastAsia="宋体" w:cs="Times New Roman"/>
                <w:b/>
                <w:bCs/>
                <w:color w:val="auto"/>
                <w:kern w:val="18"/>
                <w:sz w:val="21"/>
                <w:szCs w:val="21"/>
                <w:lang w:val="en-US" w:eastAsia="zh-CN" w:bidi="ar-SA"/>
              </w:rPr>
            </w:pPr>
            <w:r>
              <w:rPr>
                <w:rFonts w:hint="eastAsia"/>
                <w:color w:val="auto"/>
              </w:rPr>
              <w:t>撬装式加油装置</w:t>
            </w:r>
            <w:r>
              <w:rPr>
                <w:rFonts w:hint="eastAsia"/>
                <w:color w:val="auto"/>
                <w:lang w:val="en-US" w:eastAsia="zh-CN"/>
              </w:rPr>
              <w:t>左侧房屋存在窗户</w:t>
            </w:r>
          </w:p>
        </w:tc>
        <w:tc>
          <w:tcPr>
            <w:tcW w:w="4745" w:type="dxa"/>
            <w:noWrap w:val="0"/>
            <w:vAlign w:val="center"/>
          </w:tcPr>
          <w:p w14:paraId="0B75752D">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Times New Roman" w:hAnsi="Times New Roman" w:eastAsia="宋体" w:cs="Times New Roman"/>
                <w:b/>
                <w:bCs/>
                <w:color w:val="auto"/>
                <w:kern w:val="18"/>
                <w:sz w:val="21"/>
                <w:szCs w:val="21"/>
                <w:lang w:val="en-US" w:eastAsia="zh-CN" w:bidi="ar-SA"/>
              </w:rPr>
            </w:pPr>
            <w:r>
              <w:rPr>
                <w:rFonts w:hint="eastAsia"/>
                <w:color w:val="auto"/>
                <w:lang w:val="en-US" w:eastAsia="zh-CN"/>
              </w:rPr>
              <w:t>把靠近</w:t>
            </w:r>
            <w:r>
              <w:rPr>
                <w:rFonts w:hint="eastAsia"/>
                <w:color w:val="auto"/>
              </w:rPr>
              <w:t>撬装式加油装置</w:t>
            </w:r>
            <w:r>
              <w:rPr>
                <w:rFonts w:hint="eastAsia"/>
                <w:color w:val="auto"/>
                <w:lang w:val="en-US" w:eastAsia="zh-CN"/>
              </w:rPr>
              <w:t>房屋的窗户用水泥封起来</w:t>
            </w:r>
          </w:p>
        </w:tc>
      </w:tr>
    </w:tbl>
    <w:p w14:paraId="3BCFD9DA">
      <w:pPr>
        <w:bidi w:val="0"/>
        <w:rPr>
          <w:rFonts w:hint="default"/>
          <w:lang w:val="en-US" w:eastAsia="zh-CN"/>
        </w:rPr>
      </w:pPr>
      <w:r>
        <w:rPr>
          <w:rFonts w:hint="default"/>
          <w:lang w:val="en-US" w:eastAsia="zh-CN"/>
        </w:rPr>
        <w:t>2</w:t>
      </w:r>
      <w:r>
        <w:rPr>
          <w:rFonts w:hint="eastAsia"/>
          <w:lang w:val="en-US" w:eastAsia="zh-CN"/>
        </w:rPr>
        <w:t xml:space="preserve">. </w:t>
      </w:r>
      <w:r>
        <w:rPr>
          <w:rFonts w:hint="default"/>
          <w:lang w:val="en-US" w:eastAsia="zh-CN"/>
        </w:rPr>
        <w:t>整改情况</w:t>
      </w:r>
    </w:p>
    <w:p w14:paraId="4E7085D3">
      <w:pPr>
        <w:rPr>
          <w:rFonts w:hint="default"/>
          <w:b w:val="0"/>
          <w:bCs w:val="0"/>
          <w:color w:val="auto"/>
          <w:lang w:val="en-US" w:eastAsia="zh-CN"/>
        </w:rPr>
      </w:pPr>
      <w:r>
        <w:rPr>
          <w:rFonts w:hint="default"/>
          <w:b w:val="0"/>
          <w:bCs w:val="0"/>
          <w:color w:val="auto"/>
          <w:lang w:val="en-US" w:eastAsia="zh-CN"/>
        </w:rPr>
        <w:t>江西省宜丰万国矿业有限公司于</w:t>
      </w:r>
      <w:r>
        <w:rPr>
          <w:rFonts w:hint="eastAsia"/>
          <w:b w:val="0"/>
          <w:bCs w:val="0"/>
          <w:color w:val="auto"/>
          <w:lang w:val="en-US" w:eastAsia="zh-CN"/>
        </w:rPr>
        <w:t>2025年10月25日对之前提的问题进行了整改回复，</w:t>
      </w:r>
      <w:r>
        <w:rPr>
          <w:rFonts w:hint="default"/>
          <w:b w:val="0"/>
          <w:bCs w:val="0"/>
          <w:color w:val="auto"/>
          <w:lang w:val="en-US" w:eastAsia="zh-CN"/>
        </w:rPr>
        <w:t>详见整改回复附件。</w:t>
      </w:r>
    </w:p>
    <w:p w14:paraId="7E4E0181">
      <w:pPr>
        <w:rPr>
          <w:rFonts w:hint="default"/>
          <w:lang w:val="en-US" w:eastAsia="zh-CN"/>
        </w:rPr>
      </w:pPr>
      <w:r>
        <w:rPr>
          <w:rFonts w:hint="default"/>
          <w:lang w:val="en-US" w:eastAsia="zh-CN"/>
        </w:rPr>
        <w:t>3</w:t>
      </w:r>
      <w:r>
        <w:rPr>
          <w:rFonts w:hint="eastAsia"/>
          <w:lang w:val="en-US" w:eastAsia="zh-CN"/>
        </w:rPr>
        <w:t xml:space="preserve">. </w:t>
      </w:r>
      <w:r>
        <w:rPr>
          <w:rFonts w:hint="default"/>
          <w:lang w:val="en-US" w:eastAsia="zh-CN"/>
        </w:rPr>
        <w:t>现场复查情况</w:t>
      </w:r>
    </w:p>
    <w:p w14:paraId="567A7CDD">
      <w:pPr>
        <w:rPr>
          <w:rFonts w:hint="default"/>
          <w:b/>
          <w:bCs/>
          <w:color w:val="auto"/>
          <w:lang w:val="en-US" w:eastAsia="zh-CN"/>
        </w:rPr>
      </w:pPr>
      <w:r>
        <w:rPr>
          <w:rFonts w:hint="default"/>
          <w:b w:val="0"/>
          <w:bCs w:val="0"/>
          <w:color w:val="auto"/>
          <w:lang w:val="en-US" w:eastAsia="zh-CN"/>
        </w:rPr>
        <w:t>评价小组于2025年</w:t>
      </w:r>
      <w:r>
        <w:rPr>
          <w:rFonts w:hint="eastAsia"/>
          <w:b w:val="0"/>
          <w:bCs w:val="0"/>
          <w:color w:val="auto"/>
          <w:lang w:val="en-US" w:eastAsia="zh-CN"/>
        </w:rPr>
        <w:t>10</w:t>
      </w:r>
      <w:r>
        <w:rPr>
          <w:rFonts w:hint="default"/>
          <w:b w:val="0"/>
          <w:bCs w:val="0"/>
          <w:color w:val="auto"/>
          <w:lang w:val="en-US" w:eastAsia="zh-CN"/>
        </w:rPr>
        <w:t>月</w:t>
      </w:r>
      <w:r>
        <w:rPr>
          <w:rFonts w:hint="eastAsia"/>
          <w:b w:val="0"/>
          <w:bCs w:val="0"/>
          <w:color w:val="auto"/>
          <w:lang w:val="en-US" w:eastAsia="zh-CN"/>
        </w:rPr>
        <w:t>29</w:t>
      </w:r>
      <w:r>
        <w:rPr>
          <w:rFonts w:hint="default"/>
          <w:b w:val="0"/>
          <w:bCs w:val="0"/>
          <w:color w:val="auto"/>
          <w:lang w:val="en-US" w:eastAsia="zh-CN"/>
        </w:rPr>
        <w:t>日到现场进行</w:t>
      </w:r>
      <w:r>
        <w:rPr>
          <w:rFonts w:hint="eastAsia"/>
          <w:b w:val="0"/>
          <w:bCs w:val="0"/>
          <w:color w:val="auto"/>
          <w:lang w:val="en-US" w:eastAsia="zh-CN"/>
        </w:rPr>
        <w:t>了</w:t>
      </w:r>
      <w:r>
        <w:rPr>
          <w:rFonts w:hint="default"/>
          <w:b w:val="0"/>
          <w:bCs w:val="0"/>
          <w:color w:val="auto"/>
          <w:lang w:val="en-US" w:eastAsia="zh-CN"/>
        </w:rPr>
        <w:t>复查，现场已</w:t>
      </w:r>
      <w:r>
        <w:rPr>
          <w:rFonts w:hint="eastAsia"/>
          <w:b w:val="0"/>
          <w:bCs w:val="0"/>
          <w:color w:val="auto"/>
          <w:lang w:val="en-US" w:eastAsia="zh-CN"/>
        </w:rPr>
        <w:t>按要求整改完成</w:t>
      </w:r>
      <w:r>
        <w:rPr>
          <w:rFonts w:hint="default"/>
          <w:b w:val="0"/>
          <w:bCs w:val="0"/>
          <w:color w:val="auto"/>
          <w:lang w:val="en-US" w:eastAsia="zh-CN"/>
        </w:rPr>
        <w:t>。</w:t>
      </w:r>
    </w:p>
    <w:p w14:paraId="486D5D3C">
      <w:pPr>
        <w:pStyle w:val="3"/>
        <w:bidi w:val="0"/>
        <w:rPr>
          <w:rFonts w:hint="eastAsia"/>
          <w:color w:val="auto"/>
          <w:lang w:val="en-US" w:eastAsia="zh-CN"/>
        </w:rPr>
      </w:pPr>
      <w:bookmarkStart w:id="83" w:name="_Toc16177"/>
      <w:r>
        <w:rPr>
          <w:rFonts w:hint="eastAsia"/>
          <w:color w:val="auto"/>
          <w:lang w:val="en-US" w:eastAsia="zh-CN"/>
        </w:rPr>
        <w:t>7.2 安全验收专家评审现场检查问题及整改情况</w:t>
      </w:r>
      <w:bookmarkEnd w:id="83"/>
    </w:p>
    <w:p w14:paraId="509F1892">
      <w:pPr>
        <w:rPr>
          <w:rFonts w:hint="default"/>
          <w:color w:val="auto"/>
          <w:lang w:val="en-US" w:eastAsia="zh-CN"/>
        </w:rPr>
      </w:pPr>
      <w:r>
        <w:rPr>
          <w:rFonts w:hint="default"/>
          <w:color w:val="auto"/>
          <w:lang w:val="en-US" w:eastAsia="zh-CN"/>
        </w:rPr>
        <w:t>2025年</w:t>
      </w:r>
      <w:r>
        <w:rPr>
          <w:rFonts w:hint="eastAsia"/>
          <w:color w:val="auto"/>
          <w:lang w:val="en-US" w:eastAsia="zh-CN"/>
        </w:rPr>
        <w:t>11</w:t>
      </w:r>
      <w:r>
        <w:rPr>
          <w:rFonts w:hint="default"/>
          <w:color w:val="auto"/>
          <w:lang w:val="en-US" w:eastAsia="zh-CN"/>
        </w:rPr>
        <w:t>月</w:t>
      </w:r>
      <w:r>
        <w:rPr>
          <w:rFonts w:hint="eastAsia"/>
          <w:color w:val="auto"/>
          <w:lang w:val="en-US" w:eastAsia="zh-CN"/>
        </w:rPr>
        <w:t>5</w:t>
      </w:r>
      <w:r>
        <w:rPr>
          <w:rFonts w:hint="default"/>
          <w:color w:val="auto"/>
          <w:lang w:val="en-US" w:eastAsia="zh-CN"/>
        </w:rPr>
        <w:t>日，在对项目的安全验收专家评审过程中，通过现场检查和查阅有关资料，专家组发现项目在安全设施和安全措施中存在问题，并提出相应的改进措施，江西省宜丰万国矿业有限公司进行了相应的整改。具体内容，见表7.2-1。</w:t>
      </w:r>
    </w:p>
    <w:p w14:paraId="3AED4EC1">
      <w:pPr>
        <w:ind w:left="0" w:leftChars="0" w:firstLine="0" w:firstLineChars="0"/>
        <w:jc w:val="center"/>
        <w:rPr>
          <w:rFonts w:hint="default"/>
          <w:color w:val="auto"/>
          <w:lang w:val="en-US" w:eastAsia="zh-CN"/>
        </w:rPr>
      </w:pPr>
      <w:r>
        <w:rPr>
          <w:rFonts w:hint="default"/>
          <w:color w:val="auto"/>
          <w:lang w:val="en-US" w:eastAsia="zh-CN"/>
        </w:rPr>
        <w:t>表7.2-1 专家评审现场检查主要问题及整改情况</w:t>
      </w:r>
    </w:p>
    <w:tbl>
      <w:tblPr>
        <w:tblStyle w:val="20"/>
        <w:tblW w:w="499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64"/>
        <w:gridCol w:w="4593"/>
        <w:gridCol w:w="3629"/>
      </w:tblGrid>
      <w:tr w14:paraId="35B9D0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573" w:type="pct"/>
            <w:noWrap w:val="0"/>
            <w:vAlign w:val="center"/>
          </w:tcPr>
          <w:p w14:paraId="79FC8B79">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b/>
                <w:bCs/>
                <w:color w:val="auto"/>
                <w:sz w:val="21"/>
                <w:szCs w:val="21"/>
                <w:highlight w:val="none"/>
              </w:rPr>
            </w:pPr>
            <w:r>
              <w:rPr>
                <w:b/>
                <w:bCs/>
                <w:color w:val="auto"/>
                <w:sz w:val="21"/>
                <w:szCs w:val="21"/>
                <w:highlight w:val="none"/>
              </w:rPr>
              <w:t>序号</w:t>
            </w:r>
          </w:p>
        </w:tc>
        <w:tc>
          <w:tcPr>
            <w:tcW w:w="2472" w:type="pct"/>
            <w:noWrap w:val="0"/>
            <w:vAlign w:val="center"/>
          </w:tcPr>
          <w:p w14:paraId="14C06130">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b/>
                <w:bCs/>
                <w:color w:val="auto"/>
                <w:sz w:val="21"/>
                <w:szCs w:val="21"/>
                <w:highlight w:val="none"/>
              </w:rPr>
            </w:pPr>
            <w:r>
              <w:rPr>
                <w:b/>
                <w:bCs/>
                <w:color w:val="auto"/>
                <w:sz w:val="21"/>
                <w:szCs w:val="21"/>
                <w:highlight w:val="none"/>
              </w:rPr>
              <w:t>存在的问题</w:t>
            </w:r>
          </w:p>
        </w:tc>
        <w:tc>
          <w:tcPr>
            <w:tcW w:w="1953" w:type="pct"/>
            <w:noWrap w:val="0"/>
            <w:vAlign w:val="center"/>
          </w:tcPr>
          <w:p w14:paraId="78191B30">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b/>
                <w:bCs/>
                <w:color w:val="auto"/>
                <w:sz w:val="21"/>
                <w:szCs w:val="21"/>
                <w:highlight w:val="none"/>
              </w:rPr>
            </w:pPr>
            <w:r>
              <w:rPr>
                <w:b/>
                <w:bCs/>
                <w:color w:val="auto"/>
                <w:sz w:val="21"/>
                <w:szCs w:val="21"/>
                <w:highlight w:val="none"/>
              </w:rPr>
              <w:t>整改情况</w:t>
            </w:r>
          </w:p>
        </w:tc>
      </w:tr>
      <w:tr w14:paraId="578D61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573" w:type="pct"/>
            <w:noWrap w:val="0"/>
            <w:vAlign w:val="center"/>
          </w:tcPr>
          <w:p w14:paraId="69AED545">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color w:val="auto"/>
                <w:sz w:val="21"/>
                <w:szCs w:val="21"/>
                <w:highlight w:val="none"/>
              </w:rPr>
            </w:pPr>
            <w:r>
              <w:rPr>
                <w:rFonts w:hint="eastAsia"/>
                <w:color w:val="auto"/>
                <w:sz w:val="21"/>
                <w:szCs w:val="21"/>
                <w:highlight w:val="none"/>
              </w:rPr>
              <w:t>1</w:t>
            </w:r>
          </w:p>
        </w:tc>
        <w:tc>
          <w:tcPr>
            <w:tcW w:w="2472" w:type="pct"/>
            <w:noWrap w:val="0"/>
            <w:vAlign w:val="center"/>
          </w:tcPr>
          <w:p w14:paraId="4F739228">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default" w:eastAsia="宋体"/>
                <w:color w:val="auto"/>
                <w:sz w:val="21"/>
                <w:szCs w:val="21"/>
                <w:highlight w:val="none"/>
                <w:lang w:val="en-US" w:eastAsia="zh-CN"/>
              </w:rPr>
            </w:pPr>
            <w:r>
              <w:rPr>
                <w:rFonts w:hint="eastAsia" w:eastAsia="宋体"/>
                <w:color w:val="auto"/>
                <w:sz w:val="21"/>
                <w:szCs w:val="21"/>
                <w:highlight w:val="none"/>
                <w:lang w:val="en-US" w:eastAsia="zh-CN"/>
              </w:rPr>
              <w:t>撬装加油机爬梯未设置护笼，围堰缺口应改成管道加阀门，周边停用配电箱未拆除。</w:t>
            </w:r>
          </w:p>
        </w:tc>
        <w:tc>
          <w:tcPr>
            <w:tcW w:w="1953" w:type="pct"/>
            <w:noWrap w:val="0"/>
            <w:vAlign w:val="center"/>
          </w:tcPr>
          <w:p w14:paraId="7535ADBD">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color w:val="auto"/>
                <w:sz w:val="21"/>
                <w:szCs w:val="21"/>
                <w:highlight w:val="none"/>
              </w:rPr>
            </w:pPr>
            <w:r>
              <w:rPr>
                <w:rFonts w:hint="eastAsia" w:ascii="Times New Roman" w:hAnsi="Times New Roman" w:eastAsia="宋体" w:cs="Times New Roman"/>
                <w:color w:val="auto"/>
                <w:kern w:val="18"/>
                <w:sz w:val="21"/>
                <w:szCs w:val="21"/>
                <w:lang w:val="en-US" w:eastAsia="zh-CN" w:bidi="ar-SA"/>
              </w:rPr>
              <w:t>已整改，见附件</w:t>
            </w:r>
          </w:p>
        </w:tc>
      </w:tr>
      <w:tr w14:paraId="0557AF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73" w:type="pct"/>
            <w:noWrap w:val="0"/>
            <w:vAlign w:val="center"/>
          </w:tcPr>
          <w:p w14:paraId="4037D1BA">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default"/>
                <w:color w:val="auto"/>
                <w:sz w:val="21"/>
                <w:szCs w:val="21"/>
                <w:highlight w:val="none"/>
                <w:lang w:val="en-US" w:eastAsia="zh-CN"/>
              </w:rPr>
            </w:pPr>
            <w:r>
              <w:rPr>
                <w:rFonts w:hint="eastAsia"/>
                <w:color w:val="auto"/>
                <w:sz w:val="21"/>
                <w:szCs w:val="21"/>
                <w:highlight w:val="none"/>
                <w:lang w:val="en-US" w:eastAsia="zh-CN"/>
              </w:rPr>
              <w:t>2</w:t>
            </w:r>
          </w:p>
        </w:tc>
        <w:tc>
          <w:tcPr>
            <w:tcW w:w="2472" w:type="pct"/>
            <w:noWrap w:val="0"/>
            <w:vAlign w:val="center"/>
          </w:tcPr>
          <w:p w14:paraId="1F17BBE9">
            <w:pPr>
              <w:pStyle w:val="43"/>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专家提出的其他意见</w:t>
            </w:r>
          </w:p>
        </w:tc>
        <w:tc>
          <w:tcPr>
            <w:tcW w:w="1953" w:type="pct"/>
            <w:noWrap w:val="0"/>
            <w:vAlign w:val="center"/>
          </w:tcPr>
          <w:p w14:paraId="66876BC7">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color w:val="auto"/>
                <w:sz w:val="21"/>
                <w:szCs w:val="21"/>
                <w:highlight w:val="none"/>
              </w:rPr>
            </w:pPr>
            <w:r>
              <w:rPr>
                <w:rFonts w:hint="eastAsia" w:ascii="Times New Roman" w:hAnsi="Times New Roman" w:eastAsia="宋体" w:cs="Times New Roman"/>
                <w:color w:val="auto"/>
                <w:kern w:val="18"/>
                <w:sz w:val="21"/>
                <w:szCs w:val="21"/>
                <w:lang w:val="en-US" w:eastAsia="zh-CN" w:bidi="ar-SA"/>
              </w:rPr>
              <w:t>/</w:t>
            </w:r>
          </w:p>
        </w:tc>
      </w:tr>
    </w:tbl>
    <w:p w14:paraId="30287F59">
      <w:pPr>
        <w:pStyle w:val="3"/>
        <w:bidi w:val="0"/>
        <w:rPr>
          <w:rFonts w:hint="default"/>
          <w:color w:val="auto"/>
          <w:lang w:val="en-US" w:eastAsia="zh-CN"/>
        </w:rPr>
      </w:pPr>
      <w:bookmarkStart w:id="84" w:name="_Toc26931"/>
      <w:r>
        <w:rPr>
          <w:rFonts w:hint="default"/>
          <w:color w:val="auto"/>
          <w:lang w:val="en-US" w:eastAsia="zh-CN"/>
        </w:rPr>
        <w:t>7.</w:t>
      </w:r>
      <w:r>
        <w:rPr>
          <w:rFonts w:hint="eastAsia"/>
          <w:color w:val="auto"/>
          <w:lang w:val="en-US" w:eastAsia="zh-CN"/>
        </w:rPr>
        <w:t>3</w:t>
      </w:r>
      <w:r>
        <w:rPr>
          <w:rFonts w:hint="default"/>
          <w:color w:val="auto"/>
          <w:lang w:val="en-US" w:eastAsia="zh-CN"/>
        </w:rPr>
        <w:t xml:space="preserve"> 安全对策措施及建议</w:t>
      </w:r>
      <w:bookmarkEnd w:id="84"/>
    </w:p>
    <w:p w14:paraId="71B1FE17">
      <w:pPr>
        <w:rPr>
          <w:rFonts w:hint="default"/>
          <w:color w:val="auto"/>
          <w:lang w:val="en-US" w:eastAsia="zh-CN"/>
        </w:rPr>
      </w:pPr>
      <w:r>
        <w:rPr>
          <w:rFonts w:hint="default"/>
          <w:color w:val="auto"/>
          <w:lang w:val="en-US" w:eastAsia="zh-CN"/>
        </w:rPr>
        <w:t>江西省宜丰万国矿业有限公司采取了一系列安全措施，评价认为这些措施对消除、预防或降低生产装置危险性是有效的。同时，在评价过程中，也发现安全工作方面存在一些缺陷或需要改进的地方。从消除安全隐患和提升安全工作水平的角度，提出如下安全措施建议：</w:t>
      </w:r>
    </w:p>
    <w:p w14:paraId="0D6B8E5D">
      <w:pPr>
        <w:pStyle w:val="4"/>
        <w:bidi w:val="0"/>
        <w:rPr>
          <w:rFonts w:hint="default"/>
          <w:color w:val="auto"/>
          <w:lang w:val="en-US" w:eastAsia="zh-CN"/>
        </w:rPr>
      </w:pPr>
      <w:bookmarkStart w:id="85" w:name="_Toc29820"/>
      <w:r>
        <w:rPr>
          <w:rFonts w:hint="default"/>
          <w:color w:val="auto"/>
          <w:lang w:val="en-US" w:eastAsia="zh-CN"/>
        </w:rPr>
        <w:t>7.</w:t>
      </w:r>
      <w:r>
        <w:rPr>
          <w:rFonts w:hint="eastAsia"/>
          <w:color w:val="auto"/>
          <w:lang w:val="en-US" w:eastAsia="zh-CN"/>
        </w:rPr>
        <w:t>3</w:t>
      </w:r>
      <w:r>
        <w:rPr>
          <w:rFonts w:hint="default"/>
          <w:color w:val="auto"/>
          <w:lang w:val="en-US" w:eastAsia="zh-CN"/>
        </w:rPr>
        <w:t>.1 安全管理方面的对策措施及建议</w:t>
      </w:r>
      <w:bookmarkEnd w:id="85"/>
    </w:p>
    <w:p w14:paraId="10D4D6FF">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该项目投产后，江西省宜丰万国矿业有限公司的主要负责人应对本建设项目的安全生产工作全面负责。遵守《中华人民共和国安全生产法》和其他有关安全生产的法律、法规，设置专职安全管理部门和管理人员，加强安全生产管理，建立、健全安全生产责任制度，完善安全生产条件，确保安全生产。</w:t>
      </w:r>
    </w:p>
    <w:p w14:paraId="1AB5276D">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设备的不安全状态是诱发事故的物质基础。保持设备、设施的完好状态，是实现安全生产的前提。因此，要加强对设备运行时的监视、检查、定期维修保养等管</w:t>
      </w:r>
      <w:r>
        <w:rPr>
          <w:rFonts w:hint="default"/>
          <w:lang w:val="en-US" w:eastAsia="zh-CN"/>
        </w:rPr>
        <w:t>理工作。经常进行安全分析，对发生过的事故或未遂事件、故障、异常工艺条件和操作失误等，应做详细记录和原因分析并找出改进措施。还应经常收集、分析国内外的有关案例，类比本建设项目的具体情况，加强教育，积极采取安全技术、管理等方面的有效措施，防止类似事故的发生。</w:t>
      </w:r>
    </w:p>
    <w:p w14:paraId="42638524">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eastAsia="zh-CN"/>
        </w:rPr>
      </w:pPr>
      <w:r>
        <w:rPr>
          <w:rFonts w:hint="default"/>
          <w:lang w:val="en-US" w:eastAsia="zh-CN"/>
        </w:rPr>
        <w:t>3</w:t>
      </w:r>
      <w:r>
        <w:rPr>
          <w:rFonts w:hint="eastAsia"/>
          <w:lang w:val="en-US" w:eastAsia="zh-CN"/>
        </w:rPr>
        <w:t xml:space="preserve">. </w:t>
      </w:r>
      <w:r>
        <w:rPr>
          <w:rFonts w:hint="default"/>
          <w:lang w:val="en-US" w:eastAsia="zh-CN"/>
        </w:rPr>
        <w:t>严格执行动火审批制度，动火前应检测，动火时须有专人监护，并准备适用的消防器材。</w:t>
      </w:r>
    </w:p>
    <w:p w14:paraId="686B57B1">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eastAsia="zh-CN"/>
        </w:rPr>
      </w:pPr>
      <w:r>
        <w:rPr>
          <w:rFonts w:hint="default"/>
          <w:lang w:val="en-US" w:eastAsia="zh-CN"/>
        </w:rPr>
        <w:t>4</w:t>
      </w:r>
      <w:r>
        <w:rPr>
          <w:rFonts w:hint="eastAsia"/>
          <w:lang w:val="en-US" w:eastAsia="zh-CN"/>
        </w:rPr>
        <w:t xml:space="preserve">. </w:t>
      </w:r>
      <w:r>
        <w:rPr>
          <w:rFonts w:hint="default"/>
          <w:lang w:val="en-US" w:eastAsia="zh-CN"/>
        </w:rPr>
        <w:t>应根据《危险化学品事故应急救援预案导则》（GB/T29639-2020）的要求，公司应保证应急救援组织、应急救援人员的稳定性，定期检查、维护保养应急物资和装备，保证应急专项经费，定期组织应急行动的培训和演练，确保应急救援系统的可靠有效性。</w:t>
      </w:r>
    </w:p>
    <w:p w14:paraId="1F52A119">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eastAsia="zh-CN"/>
        </w:rPr>
      </w:pPr>
      <w:r>
        <w:rPr>
          <w:rFonts w:hint="default"/>
          <w:lang w:val="en-US" w:eastAsia="zh-CN"/>
        </w:rPr>
        <w:t>5</w:t>
      </w:r>
      <w:r>
        <w:rPr>
          <w:rFonts w:hint="eastAsia"/>
          <w:lang w:val="en-US" w:eastAsia="zh-CN"/>
        </w:rPr>
        <w:t xml:space="preserve">. </w:t>
      </w:r>
      <w:r>
        <w:rPr>
          <w:rFonts w:hint="default"/>
          <w:lang w:val="en-US" w:eastAsia="zh-CN"/>
        </w:rPr>
        <w:t>加强从业人员的教育、培训工作，主要负责人和安全生产管理人员应当接受安全培训，具备与所从事的生产经营活动相适应的安全生产知识和管理能力。安全资格培训时间不得少于48学时；每年再培训时间不得少于16学时。持续做好安全管理人员及其他从业人员的培训考核工作，保证他们的资格证书持续有效。</w:t>
      </w:r>
    </w:p>
    <w:p w14:paraId="47582B96">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eastAsia="zh-CN"/>
        </w:rPr>
      </w:pPr>
      <w:r>
        <w:rPr>
          <w:rFonts w:hint="default"/>
          <w:lang w:val="en-US" w:eastAsia="zh-CN"/>
        </w:rPr>
        <w:t>6</w:t>
      </w:r>
      <w:r>
        <w:rPr>
          <w:rFonts w:hint="eastAsia"/>
          <w:lang w:val="en-US" w:eastAsia="zh-CN"/>
        </w:rPr>
        <w:t xml:space="preserve">. </w:t>
      </w:r>
      <w:r>
        <w:rPr>
          <w:rFonts w:hint="default"/>
          <w:lang w:val="en-US" w:eastAsia="zh-CN"/>
        </w:rPr>
        <w:t>企业应安排适当的资金，用于改善安全设施，更新安全技术装备、器材、仪器、仪表以及其他安全生产投入，以保证生产经营单位达到法律、法规、标准规定的安全生产条件，并对由于安全生产所必需的资金投入不足导致的后果承担责任。</w:t>
      </w:r>
    </w:p>
    <w:p w14:paraId="09A0F088">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eastAsia="zh-CN"/>
        </w:rPr>
      </w:pPr>
      <w:r>
        <w:rPr>
          <w:rFonts w:hint="default"/>
          <w:lang w:val="en-US" w:eastAsia="zh-CN"/>
        </w:rPr>
        <w:t>7</w:t>
      </w:r>
      <w:r>
        <w:rPr>
          <w:rFonts w:hint="eastAsia"/>
          <w:lang w:val="en-US" w:eastAsia="zh-CN"/>
        </w:rPr>
        <w:t xml:space="preserve">. </w:t>
      </w:r>
      <w:r>
        <w:rPr>
          <w:rFonts w:hint="default"/>
          <w:lang w:val="en-US" w:eastAsia="zh-CN"/>
        </w:rPr>
        <w:t>企业应建立安全管理台账，对劳动安全卫生设施进行维护管理。</w:t>
      </w:r>
    </w:p>
    <w:p w14:paraId="225F4452">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color w:val="auto"/>
          <w:lang w:val="en-US" w:eastAsia="zh-CN"/>
        </w:rPr>
      </w:pPr>
      <w:r>
        <w:rPr>
          <w:rFonts w:hint="default"/>
          <w:lang w:val="en-US" w:eastAsia="zh-CN"/>
        </w:rPr>
        <w:t>8</w:t>
      </w:r>
      <w:r>
        <w:rPr>
          <w:rFonts w:hint="eastAsia"/>
          <w:lang w:val="en-US" w:eastAsia="zh-CN"/>
        </w:rPr>
        <w:t xml:space="preserve">. </w:t>
      </w:r>
      <w:r>
        <w:rPr>
          <w:rFonts w:hint="default"/>
          <w:color w:val="auto"/>
          <w:lang w:val="en-US" w:eastAsia="zh-CN"/>
        </w:rPr>
        <w:t>建立工伤保险与事故预防相结合的机制，完善工伤保险制度，扩大工伤保险覆盖率。</w:t>
      </w:r>
    </w:p>
    <w:p w14:paraId="77273DF0">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color w:val="auto"/>
          <w:lang w:val="en-US" w:eastAsia="zh-CN"/>
        </w:rPr>
      </w:pPr>
      <w:r>
        <w:rPr>
          <w:rFonts w:hint="eastAsia"/>
          <w:color w:val="auto"/>
          <w:lang w:val="en-US" w:eastAsia="zh-CN"/>
        </w:rPr>
        <w:t>9. 本次新增了撬装加油装置，应急预案需要进行修订，补充撬装加油站内容。</w:t>
      </w:r>
    </w:p>
    <w:p w14:paraId="34C00FA6">
      <w:pPr>
        <w:pStyle w:val="4"/>
        <w:bidi w:val="0"/>
        <w:rPr>
          <w:rFonts w:hint="default"/>
          <w:lang w:val="en-US" w:eastAsia="zh-CN"/>
        </w:rPr>
      </w:pPr>
      <w:bookmarkStart w:id="86" w:name="_Toc2919"/>
      <w:r>
        <w:rPr>
          <w:rFonts w:hint="default"/>
          <w:lang w:val="en-US" w:eastAsia="zh-CN"/>
        </w:rPr>
        <w:t>7.</w:t>
      </w:r>
      <w:r>
        <w:rPr>
          <w:rFonts w:hint="eastAsia"/>
          <w:lang w:val="en-US" w:eastAsia="zh-CN"/>
        </w:rPr>
        <w:t>3</w:t>
      </w:r>
      <w:r>
        <w:rPr>
          <w:rFonts w:hint="default"/>
          <w:lang w:val="en-US" w:eastAsia="zh-CN"/>
        </w:rPr>
        <w:t>.2 工艺装置方面的对策措施及建议</w:t>
      </w:r>
      <w:bookmarkEnd w:id="86"/>
    </w:p>
    <w:p w14:paraId="22B8F564">
      <w:pPr>
        <w:rPr>
          <w:rFonts w:hint="default"/>
          <w:lang w:val="en-US" w:eastAsia="zh-CN"/>
        </w:rPr>
      </w:pPr>
      <w:r>
        <w:rPr>
          <w:rFonts w:hint="default"/>
          <w:lang w:val="en-US" w:eastAsia="zh-CN"/>
        </w:rPr>
        <w:t>1</w:t>
      </w:r>
      <w:r>
        <w:rPr>
          <w:rFonts w:hint="eastAsia"/>
          <w:lang w:val="en-US" w:eastAsia="zh-CN"/>
        </w:rPr>
        <w:t xml:space="preserve">. </w:t>
      </w:r>
      <w:r>
        <w:rPr>
          <w:rFonts w:hint="default"/>
          <w:lang w:val="en-US" w:eastAsia="zh-CN"/>
        </w:rPr>
        <w:t>卸油时，确认铅封、运单信息和地罐空容，确认卸油罐对应加油机停止发油。且卸油期间，卸油员和驾驶员必须全程现场监护，做好巡查。</w:t>
      </w:r>
    </w:p>
    <w:p w14:paraId="05071FFB">
      <w:pPr>
        <w:rPr>
          <w:rFonts w:hint="default"/>
          <w:lang w:val="en-US" w:eastAsia="zh-CN"/>
        </w:rPr>
      </w:pPr>
      <w:r>
        <w:rPr>
          <w:rFonts w:hint="default"/>
          <w:lang w:val="en-US" w:eastAsia="zh-CN"/>
        </w:rPr>
        <w:t>2</w:t>
      </w:r>
      <w:r>
        <w:rPr>
          <w:rFonts w:hint="eastAsia"/>
          <w:lang w:val="en-US" w:eastAsia="zh-CN"/>
        </w:rPr>
        <w:t xml:space="preserve">. </w:t>
      </w:r>
      <w:r>
        <w:rPr>
          <w:rFonts w:hint="default"/>
          <w:lang w:val="en-US" w:eastAsia="zh-CN"/>
        </w:rPr>
        <w:t>维护、检修应使用防爆型照明设备。应定期对输油管道进行耐压试验，定时检测油罐泄漏，确认无油料溢出。</w:t>
      </w:r>
    </w:p>
    <w:p w14:paraId="27E78319">
      <w:pPr>
        <w:rPr>
          <w:rFonts w:hint="default"/>
          <w:lang w:val="en-US" w:eastAsia="zh-CN"/>
        </w:rPr>
      </w:pPr>
      <w:r>
        <w:rPr>
          <w:rFonts w:hint="default"/>
          <w:lang w:val="en-US" w:eastAsia="zh-CN"/>
        </w:rPr>
        <w:t>3</w:t>
      </w:r>
      <w:r>
        <w:rPr>
          <w:rFonts w:hint="eastAsia"/>
          <w:lang w:val="en-US" w:eastAsia="zh-CN"/>
        </w:rPr>
        <w:t xml:space="preserve">. </w:t>
      </w:r>
      <w:r>
        <w:rPr>
          <w:rFonts w:hint="default"/>
          <w:lang w:val="en-US" w:eastAsia="zh-CN"/>
        </w:rPr>
        <w:t>加油机维修前应切断电源摘下皮带轮上的皮带。注意不要划伤各金属零件、密封件及密封结合面，以免造成泄漏。</w:t>
      </w:r>
    </w:p>
    <w:p w14:paraId="2C84E084">
      <w:pPr>
        <w:pStyle w:val="4"/>
        <w:bidi w:val="0"/>
        <w:rPr>
          <w:rFonts w:hint="default"/>
          <w:lang w:val="en-US" w:eastAsia="zh-CN"/>
        </w:rPr>
      </w:pPr>
      <w:bookmarkStart w:id="87" w:name="_Toc24128"/>
      <w:r>
        <w:rPr>
          <w:rFonts w:hint="default"/>
          <w:lang w:val="en-US" w:eastAsia="zh-CN"/>
        </w:rPr>
        <w:t>7.</w:t>
      </w:r>
      <w:r>
        <w:rPr>
          <w:rFonts w:hint="eastAsia"/>
          <w:lang w:val="en-US" w:eastAsia="zh-CN"/>
        </w:rPr>
        <w:t>3</w:t>
      </w:r>
      <w:r>
        <w:rPr>
          <w:rFonts w:hint="default"/>
          <w:lang w:val="en-US" w:eastAsia="zh-CN"/>
        </w:rPr>
        <w:t>.3 应急救援方面的对策措施及建议</w:t>
      </w:r>
      <w:bookmarkEnd w:id="87"/>
    </w:p>
    <w:p w14:paraId="5A815F56">
      <w:pPr>
        <w:rPr>
          <w:rFonts w:hint="default"/>
          <w:lang w:val="en-US" w:eastAsia="zh-CN"/>
        </w:rPr>
      </w:pPr>
      <w:r>
        <w:rPr>
          <w:rFonts w:hint="default"/>
          <w:lang w:val="en-US" w:eastAsia="zh-CN"/>
        </w:rPr>
        <w:t>1</w:t>
      </w:r>
      <w:r>
        <w:rPr>
          <w:rFonts w:hint="eastAsia"/>
          <w:lang w:val="en-US" w:eastAsia="zh-CN"/>
        </w:rPr>
        <w:t xml:space="preserve">. </w:t>
      </w:r>
      <w:r>
        <w:rPr>
          <w:rFonts w:hint="default"/>
          <w:lang w:val="en-US" w:eastAsia="zh-CN"/>
        </w:rPr>
        <w:t>每年对应急救援指挥部成员进行一次应急救援预案管理的培训。</w:t>
      </w:r>
    </w:p>
    <w:p w14:paraId="56293B41">
      <w:pPr>
        <w:rPr>
          <w:rFonts w:hint="default"/>
          <w:lang w:val="en-US" w:eastAsia="zh-CN"/>
        </w:rPr>
      </w:pPr>
      <w:r>
        <w:rPr>
          <w:rFonts w:hint="default"/>
          <w:lang w:val="en-US" w:eastAsia="zh-CN"/>
        </w:rPr>
        <w:t>2</w:t>
      </w:r>
      <w:r>
        <w:rPr>
          <w:rFonts w:hint="eastAsia"/>
          <w:lang w:val="en-US" w:eastAsia="zh-CN"/>
        </w:rPr>
        <w:t xml:space="preserve">. </w:t>
      </w:r>
      <w:r>
        <w:rPr>
          <w:rFonts w:hint="default"/>
          <w:lang w:val="en-US" w:eastAsia="zh-CN"/>
        </w:rPr>
        <w:t>公司每年应进行消防器材使用培训、急救器材使用培训、入医院前的急救培训。</w:t>
      </w:r>
    </w:p>
    <w:p w14:paraId="3C06904D">
      <w:pPr>
        <w:rPr>
          <w:rFonts w:hint="default"/>
          <w:lang w:val="en-US" w:eastAsia="zh-CN"/>
        </w:rPr>
      </w:pPr>
      <w:r>
        <w:rPr>
          <w:rFonts w:hint="default"/>
          <w:lang w:val="en-US" w:eastAsia="zh-CN"/>
        </w:rPr>
        <w:t>3</w:t>
      </w:r>
      <w:r>
        <w:rPr>
          <w:rFonts w:hint="eastAsia"/>
          <w:lang w:val="en-US" w:eastAsia="zh-CN"/>
        </w:rPr>
        <w:t xml:space="preserve">. </w:t>
      </w:r>
      <w:r>
        <w:rPr>
          <w:rFonts w:hint="default"/>
          <w:lang w:val="en-US" w:eastAsia="zh-CN"/>
        </w:rPr>
        <w:t>应急救援预案演练应根据《生产安全事故应急演练指南》</w:t>
      </w:r>
      <w:r>
        <w:rPr>
          <w:rFonts w:hint="eastAsia"/>
          <w:lang w:val="en-US" w:eastAsia="zh-CN"/>
        </w:rPr>
        <w:t>（</w:t>
      </w:r>
      <w:r>
        <w:rPr>
          <w:rFonts w:hint="default"/>
          <w:lang w:val="en-US" w:eastAsia="zh-CN"/>
        </w:rPr>
        <w:t>AQ/T9007-2011</w:t>
      </w:r>
      <w:r>
        <w:rPr>
          <w:rFonts w:hint="eastAsia"/>
          <w:lang w:val="en-US" w:eastAsia="zh-CN"/>
        </w:rPr>
        <w:t>）</w:t>
      </w:r>
      <w:r>
        <w:rPr>
          <w:rFonts w:hint="default"/>
          <w:lang w:val="en-US" w:eastAsia="zh-CN"/>
        </w:rPr>
        <w:t>的要求并结合企业实际情况进行，演练后应根据演练记录进行总结，并按照《生产经营单位生产安全事故应急预案编制导则》（GB/T29639-2020）的要求对应急预案进行评审及必要的修订意见。修订意见可根据发现的缺陷严重程度确定是否需要立即修订预案。</w:t>
      </w:r>
    </w:p>
    <w:p w14:paraId="13DCEF60">
      <w:pPr>
        <w:rPr>
          <w:rFonts w:hint="default"/>
          <w:lang w:val="en-US" w:eastAsia="zh-CN"/>
        </w:rPr>
      </w:pPr>
      <w:r>
        <w:rPr>
          <w:rFonts w:hint="default"/>
          <w:lang w:val="en-US" w:eastAsia="zh-CN"/>
        </w:rPr>
        <w:t>（4）进行应急救援演练时，建议邀请附近企业和上级管理部门参与。</w:t>
      </w:r>
    </w:p>
    <w:p w14:paraId="56300629">
      <w:pPr>
        <w:rPr>
          <w:rFonts w:hint="default"/>
          <w:lang w:val="en-US" w:eastAsia="zh-CN"/>
        </w:rPr>
      </w:pPr>
    </w:p>
    <w:p w14:paraId="6F10A988">
      <w:pPr>
        <w:rPr>
          <w:rFonts w:hint="default"/>
          <w:lang w:val="en-US" w:eastAsia="zh-CN"/>
        </w:rPr>
      </w:pPr>
      <w:r>
        <w:rPr>
          <w:rFonts w:hint="default"/>
          <w:lang w:val="en-US" w:eastAsia="zh-CN"/>
        </w:rPr>
        <w:br w:type="page"/>
      </w:r>
    </w:p>
    <w:p w14:paraId="1042812B">
      <w:pPr>
        <w:pStyle w:val="2"/>
        <w:numPr>
          <w:ilvl w:val="0"/>
          <w:numId w:val="1"/>
        </w:numPr>
        <w:bidi w:val="0"/>
        <w:ind w:left="0" w:leftChars="0" w:firstLine="0" w:firstLineChars="0"/>
        <w:rPr>
          <w:rFonts w:hint="default"/>
          <w:color w:val="auto"/>
          <w:lang w:val="en-US" w:eastAsia="zh-CN"/>
        </w:rPr>
      </w:pPr>
      <w:bookmarkStart w:id="88" w:name="_Toc6426"/>
      <w:r>
        <w:rPr>
          <w:rFonts w:hint="default"/>
          <w:color w:val="auto"/>
          <w:lang w:val="en-US" w:eastAsia="zh-CN"/>
        </w:rPr>
        <w:t>验收评价结论</w:t>
      </w:r>
      <w:bookmarkEnd w:id="88"/>
    </w:p>
    <w:p w14:paraId="69811128">
      <w:pPr>
        <w:rPr>
          <w:rFonts w:hint="default"/>
          <w:color w:val="auto"/>
          <w:lang w:val="en-US" w:eastAsia="zh-CN"/>
        </w:rPr>
      </w:pPr>
      <w:r>
        <w:rPr>
          <w:rFonts w:hint="default"/>
          <w:lang w:val="en-US" w:eastAsia="zh-CN"/>
        </w:rPr>
        <w:t>根据该项目的实际情况，对照相关法律、法规、标准，按照《安全验收评价导则》的要求，本评价报告通</w:t>
      </w:r>
      <w:r>
        <w:rPr>
          <w:rFonts w:hint="default"/>
          <w:color w:val="auto"/>
          <w:lang w:val="en-US" w:eastAsia="zh-CN"/>
        </w:rPr>
        <w:t>过对江西省宜丰万国矿业有限公司</w:t>
      </w:r>
      <w:r>
        <w:rPr>
          <w:rFonts w:hint="eastAsia"/>
          <w:color w:val="auto"/>
          <w:lang w:val="en-US" w:eastAsia="zh-CN"/>
        </w:rPr>
        <w:t>铜铁选矿厂技改工程（新建内部加油站项目）</w:t>
      </w:r>
      <w:r>
        <w:rPr>
          <w:rFonts w:hint="default"/>
          <w:color w:val="auto"/>
          <w:lang w:val="en-US" w:eastAsia="zh-CN"/>
        </w:rPr>
        <w:t>危险有害因素的辨识，采用安全检查表等定性与定量评价方法相结合，对建设项目进行了评价，得出主要结论如下：</w:t>
      </w:r>
    </w:p>
    <w:p w14:paraId="633BF258">
      <w:pPr>
        <w:pStyle w:val="3"/>
        <w:bidi w:val="0"/>
        <w:rPr>
          <w:rFonts w:hint="default"/>
          <w:color w:val="auto"/>
          <w:lang w:val="en-US" w:eastAsia="zh-CN"/>
        </w:rPr>
      </w:pPr>
      <w:bookmarkStart w:id="89" w:name="_Toc8138"/>
      <w:r>
        <w:rPr>
          <w:rFonts w:hint="default"/>
          <w:color w:val="auto"/>
          <w:lang w:val="en-US" w:eastAsia="zh-CN"/>
        </w:rPr>
        <w:t>8.1 综合评价</w:t>
      </w:r>
      <w:bookmarkEnd w:id="89"/>
    </w:p>
    <w:p w14:paraId="26382C9F">
      <w:pPr>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建设项目的《</w:t>
      </w:r>
      <w:r>
        <w:rPr>
          <w:rFonts w:hint="eastAsia"/>
          <w:color w:val="auto"/>
        </w:rPr>
        <w:t>安全条件评价</w:t>
      </w:r>
      <w:r>
        <w:rPr>
          <w:rFonts w:hint="default"/>
          <w:color w:val="auto"/>
          <w:lang w:val="en-US" w:eastAsia="zh-CN"/>
        </w:rPr>
        <w:t>》由江西省宜丰万国矿业有限公司编制；《安全设施设计》由北京慎恒工程设计有限公司编制，该公司具备化工石化医药行业（化工工程）专业甲级设计资质。</w:t>
      </w:r>
    </w:p>
    <w:p w14:paraId="256D1250">
      <w:pPr>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建设项目涉及的化学品主要为柴油，不属于国家重点监管的危险化学品，不涉及剧毒物质和高毒物质，不涉及易制爆化学品。</w:t>
      </w:r>
    </w:p>
    <w:p w14:paraId="3AC97090">
      <w:pPr>
        <w:rPr>
          <w:rFonts w:hint="default"/>
          <w:color w:val="auto"/>
          <w:lang w:val="en-US" w:eastAsia="zh-CN"/>
        </w:rPr>
      </w:pPr>
      <w:r>
        <w:rPr>
          <w:rFonts w:hint="default"/>
          <w:color w:val="auto"/>
          <w:lang w:val="en-US" w:eastAsia="zh-CN"/>
        </w:rPr>
        <w:t>3</w:t>
      </w:r>
      <w:r>
        <w:rPr>
          <w:rFonts w:hint="eastAsia"/>
          <w:color w:val="auto"/>
          <w:lang w:val="en-US" w:eastAsia="zh-CN"/>
        </w:rPr>
        <w:t xml:space="preserve">. </w:t>
      </w:r>
      <w:r>
        <w:rPr>
          <w:rFonts w:hint="default"/>
          <w:color w:val="auto"/>
          <w:lang w:val="en-US" w:eastAsia="zh-CN"/>
        </w:rPr>
        <w:t>建设项目主要危险有害因素是火灾、爆炸；触电；车辆伤害；物体打击；中毒与窒息；机械伤害；坍塌；有害物质；噪声等。建设项目应重点防范的重大危险有害因素是火灾、爆炸。</w:t>
      </w:r>
    </w:p>
    <w:p w14:paraId="1A7FAF81">
      <w:pPr>
        <w:rPr>
          <w:rFonts w:hint="default"/>
          <w:color w:val="auto"/>
          <w:lang w:val="en-US" w:eastAsia="zh-CN"/>
        </w:rPr>
      </w:pPr>
      <w:r>
        <w:rPr>
          <w:rFonts w:hint="default"/>
          <w:color w:val="auto"/>
          <w:lang w:val="en-US" w:eastAsia="zh-CN"/>
        </w:rPr>
        <w:t>4</w:t>
      </w:r>
      <w:r>
        <w:rPr>
          <w:rFonts w:hint="eastAsia"/>
          <w:color w:val="auto"/>
          <w:lang w:val="en-US" w:eastAsia="zh-CN"/>
        </w:rPr>
        <w:t xml:space="preserve">. </w:t>
      </w:r>
      <w:r>
        <w:rPr>
          <w:rFonts w:hint="default"/>
          <w:color w:val="auto"/>
          <w:lang w:val="en-US" w:eastAsia="zh-CN"/>
        </w:rPr>
        <w:t>江西省宜丰万国矿业有限公司设置了安全管理机构，全面负责公司的安全生产管理工作</w:t>
      </w:r>
      <w:r>
        <w:rPr>
          <w:rFonts w:hint="eastAsia"/>
          <w:color w:val="auto"/>
          <w:lang w:val="en-US" w:eastAsia="zh-CN"/>
        </w:rPr>
        <w:t>，</w:t>
      </w:r>
      <w:r>
        <w:rPr>
          <w:rFonts w:hint="default"/>
          <w:color w:val="auto"/>
          <w:lang w:val="en-US" w:eastAsia="zh-CN"/>
        </w:rPr>
        <w:t>确保公司的安全管理工作顺利进行。各项安全管理制度、安全操作规程、安全责任制完备，安全管理人员经验丰富，作业人员安全素质较高。</w:t>
      </w:r>
    </w:p>
    <w:p w14:paraId="77447F11">
      <w:pPr>
        <w:rPr>
          <w:rFonts w:hint="default"/>
          <w:color w:val="auto"/>
          <w:lang w:val="en-US" w:eastAsia="zh-CN"/>
        </w:rPr>
      </w:pPr>
      <w:r>
        <w:rPr>
          <w:rFonts w:hint="default"/>
          <w:color w:val="auto"/>
          <w:lang w:val="en-US" w:eastAsia="zh-CN"/>
        </w:rPr>
        <w:t>5</w:t>
      </w:r>
      <w:r>
        <w:rPr>
          <w:rFonts w:hint="eastAsia"/>
          <w:color w:val="auto"/>
          <w:lang w:val="en-US" w:eastAsia="zh-CN"/>
        </w:rPr>
        <w:t xml:space="preserve">. </w:t>
      </w:r>
      <w:r>
        <w:rPr>
          <w:rFonts w:hint="default"/>
          <w:color w:val="auto"/>
          <w:lang w:val="en-US" w:eastAsia="zh-CN"/>
        </w:rPr>
        <w:t>根据《危险化学品重大危险源辨识》</w:t>
      </w:r>
      <w:r>
        <w:rPr>
          <w:rFonts w:hint="eastAsia"/>
          <w:color w:val="auto"/>
          <w:lang w:val="en-US" w:eastAsia="zh-CN"/>
        </w:rPr>
        <w:t>（</w:t>
      </w:r>
      <w:r>
        <w:rPr>
          <w:rFonts w:hint="default"/>
          <w:color w:val="auto"/>
          <w:lang w:val="en-US" w:eastAsia="zh-CN"/>
        </w:rPr>
        <w:t>GB18218-2018</w:t>
      </w:r>
      <w:r>
        <w:rPr>
          <w:rFonts w:hint="eastAsia"/>
          <w:color w:val="auto"/>
          <w:lang w:val="en-US" w:eastAsia="zh-CN"/>
        </w:rPr>
        <w:t>）</w:t>
      </w:r>
      <w:r>
        <w:rPr>
          <w:rFonts w:hint="default"/>
          <w:color w:val="auto"/>
          <w:lang w:val="en-US" w:eastAsia="zh-CN"/>
        </w:rPr>
        <w:t>、《危险化学品重大危险源监督管理暂行规定》（安监总局第40号令、79号令修订）对该建设项目进行辨识及分级，该建设项目不构成重大危险源。</w:t>
      </w:r>
    </w:p>
    <w:p w14:paraId="5213F641">
      <w:pPr>
        <w:rPr>
          <w:rFonts w:hint="default"/>
          <w:color w:val="auto"/>
          <w:lang w:val="en-US" w:eastAsia="zh-CN"/>
        </w:rPr>
      </w:pPr>
      <w:r>
        <w:rPr>
          <w:rFonts w:hint="default"/>
          <w:color w:val="auto"/>
          <w:lang w:val="en-US" w:eastAsia="zh-CN"/>
        </w:rPr>
        <w:t>6</w:t>
      </w:r>
      <w:r>
        <w:rPr>
          <w:rFonts w:hint="eastAsia"/>
          <w:color w:val="auto"/>
          <w:lang w:val="en-US" w:eastAsia="zh-CN"/>
        </w:rPr>
        <w:t xml:space="preserve">. </w:t>
      </w:r>
      <w:r>
        <w:rPr>
          <w:rFonts w:hint="default"/>
          <w:color w:val="auto"/>
          <w:lang w:val="en-US" w:eastAsia="zh-CN"/>
        </w:rPr>
        <w:t>建设项目安全条件及与周边的安全防护距离符合要求。</w:t>
      </w:r>
    </w:p>
    <w:p w14:paraId="385F3E3D">
      <w:pPr>
        <w:rPr>
          <w:rFonts w:hint="default"/>
          <w:color w:val="auto"/>
          <w:lang w:val="en-US" w:eastAsia="zh-CN"/>
        </w:rPr>
      </w:pPr>
      <w:r>
        <w:rPr>
          <w:rFonts w:hint="default"/>
          <w:color w:val="auto"/>
          <w:lang w:val="en-US" w:eastAsia="zh-CN"/>
        </w:rPr>
        <w:t>7</w:t>
      </w:r>
      <w:r>
        <w:rPr>
          <w:rFonts w:hint="eastAsia"/>
          <w:color w:val="auto"/>
          <w:lang w:val="en-US" w:eastAsia="zh-CN"/>
        </w:rPr>
        <w:t xml:space="preserve">. </w:t>
      </w:r>
      <w:r>
        <w:rPr>
          <w:rFonts w:hint="default"/>
          <w:color w:val="auto"/>
          <w:lang w:val="en-US" w:eastAsia="zh-CN"/>
        </w:rPr>
        <w:t>建设项目落实了安全条件评价报告中和安全设施设计中提出的安全对策措施建议，建设项目的安全设施、设备、装置已与主体工程同时设计、同时施工、同时投入生产和使用，安全设施的水平属于国内的主流水平。</w:t>
      </w:r>
    </w:p>
    <w:p w14:paraId="4EF5D691">
      <w:pPr>
        <w:pStyle w:val="3"/>
        <w:bidi w:val="0"/>
        <w:rPr>
          <w:rFonts w:hint="default"/>
          <w:color w:val="auto"/>
          <w:lang w:val="en-US" w:eastAsia="zh-CN"/>
        </w:rPr>
      </w:pPr>
      <w:bookmarkStart w:id="90" w:name="_Toc12718"/>
      <w:r>
        <w:rPr>
          <w:rFonts w:hint="default"/>
          <w:color w:val="auto"/>
          <w:lang w:val="en-US" w:eastAsia="zh-CN"/>
        </w:rPr>
        <w:t>8.2 评价结论</w:t>
      </w:r>
      <w:bookmarkEnd w:id="90"/>
    </w:p>
    <w:p w14:paraId="0E8FAA1A">
      <w:pPr>
        <w:rPr>
          <w:rFonts w:hint="default"/>
          <w:color w:val="auto"/>
          <w:lang w:val="en-US" w:eastAsia="zh-CN"/>
        </w:rPr>
      </w:pPr>
      <w:r>
        <w:rPr>
          <w:rFonts w:hint="default"/>
          <w:color w:val="auto"/>
          <w:lang w:val="en-US" w:eastAsia="zh-CN"/>
        </w:rPr>
        <w:t>江西省宜丰万国矿业有限公司</w:t>
      </w:r>
      <w:r>
        <w:rPr>
          <w:rFonts w:hint="eastAsia"/>
          <w:color w:val="auto"/>
          <w:lang w:val="en-US" w:eastAsia="zh-CN"/>
        </w:rPr>
        <w:t>铜铁选矿厂技改工程（新建内部加油站项目）</w:t>
      </w:r>
      <w:r>
        <w:rPr>
          <w:rFonts w:hint="default"/>
          <w:color w:val="auto"/>
          <w:lang w:val="en-US" w:eastAsia="zh-CN"/>
        </w:rPr>
        <w:t>所涉及的安全条件符合国家法律法规、相关标准规范的要求，安全装置和安全措施以及公用工程能够满足该项目正常生产过程中安全生产的需要，该项目的安全管理能够满足安全生产的需要。</w:t>
      </w:r>
    </w:p>
    <w:p w14:paraId="431397E3">
      <w:pPr>
        <w:rPr>
          <w:rFonts w:hint="default"/>
          <w:color w:val="auto"/>
          <w:lang w:val="en-US" w:eastAsia="zh-CN"/>
        </w:rPr>
      </w:pPr>
      <w:r>
        <w:rPr>
          <w:rFonts w:hint="default"/>
          <w:color w:val="auto"/>
          <w:lang w:val="en-US" w:eastAsia="zh-CN"/>
        </w:rPr>
        <w:t>建议企业进一步加强安全管理，落实本报告提出的安全管理方面的建议和安全设施方面的对策措施，提高安全生产管理人员和职工的技术、技能水平和安全意识，维护好安全监测、控制和报警设施，进一步提高项目本质安全度，达到安全生产的目的。</w:t>
      </w:r>
    </w:p>
    <w:p w14:paraId="32A43A59">
      <w:pPr>
        <w:rPr>
          <w:rFonts w:hint="default"/>
          <w:b/>
          <w:bCs/>
          <w:lang w:val="en-US" w:eastAsia="zh-CN"/>
        </w:rPr>
      </w:pPr>
      <w:r>
        <w:rPr>
          <w:rFonts w:hint="default"/>
          <w:b/>
          <w:bCs/>
          <w:color w:val="auto"/>
          <w:lang w:val="en-US" w:eastAsia="zh-CN"/>
        </w:rPr>
        <w:t>综上所述，</w:t>
      </w:r>
      <w:r>
        <w:rPr>
          <w:rFonts w:hint="eastAsia"/>
          <w:b/>
          <w:bCs/>
          <w:color w:val="auto"/>
        </w:rPr>
        <w:t>江西省宜丰万国矿业有限公司</w:t>
      </w:r>
      <w:r>
        <w:rPr>
          <w:rFonts w:hint="eastAsia"/>
          <w:b/>
          <w:bCs/>
          <w:color w:val="auto"/>
          <w:lang w:eastAsia="zh-CN"/>
        </w:rPr>
        <w:t>铜铁选矿厂技改工程（新建内部加油站项目）</w:t>
      </w:r>
      <w:r>
        <w:rPr>
          <w:rFonts w:hint="eastAsia"/>
          <w:b/>
          <w:bCs/>
          <w:color w:val="auto"/>
          <w:lang w:val="en-US" w:eastAsia="zh-CN"/>
        </w:rPr>
        <w:t>在完成</w:t>
      </w:r>
      <w:r>
        <w:rPr>
          <w:rFonts w:hint="default"/>
          <w:b/>
          <w:bCs/>
          <w:color w:val="auto"/>
          <w:lang w:val="en-US" w:eastAsia="zh-CN"/>
        </w:rPr>
        <w:t>安全设施设计中的安全设施</w:t>
      </w:r>
      <w:r>
        <w:rPr>
          <w:rFonts w:hint="eastAsia"/>
          <w:b/>
          <w:bCs/>
          <w:color w:val="auto"/>
          <w:lang w:val="en-US" w:eastAsia="zh-CN"/>
        </w:rPr>
        <w:t>后</w:t>
      </w:r>
      <w:r>
        <w:rPr>
          <w:rFonts w:hint="default"/>
          <w:b/>
          <w:bCs/>
          <w:color w:val="auto"/>
          <w:lang w:val="en-US" w:eastAsia="zh-CN"/>
        </w:rPr>
        <w:t>，符合国家安全生产方面的法律、法规、标准、规范的要求，具备安全生产验收条件</w:t>
      </w:r>
      <w:r>
        <w:rPr>
          <w:rFonts w:hint="default"/>
          <w:b/>
          <w:bCs/>
          <w:lang w:val="en-US" w:eastAsia="zh-CN"/>
        </w:rPr>
        <w:t>。</w:t>
      </w:r>
    </w:p>
    <w:p w14:paraId="06FDCDD4">
      <w:pPr>
        <w:rPr>
          <w:rFonts w:hint="default"/>
          <w:lang w:val="en-US" w:eastAsia="zh-CN"/>
        </w:rPr>
      </w:pPr>
    </w:p>
    <w:p w14:paraId="5101C9B9">
      <w:pPr>
        <w:rPr>
          <w:rFonts w:hint="default"/>
          <w:lang w:val="en-US" w:eastAsia="zh-CN"/>
        </w:rPr>
      </w:pPr>
      <w:r>
        <w:rPr>
          <w:rFonts w:hint="default"/>
          <w:lang w:val="en-US" w:eastAsia="zh-CN"/>
        </w:rPr>
        <w:br w:type="page"/>
      </w:r>
    </w:p>
    <w:p w14:paraId="6371D753">
      <w:pPr>
        <w:pStyle w:val="2"/>
        <w:numPr>
          <w:ilvl w:val="0"/>
          <w:numId w:val="1"/>
        </w:numPr>
        <w:bidi w:val="0"/>
        <w:ind w:left="0" w:leftChars="0" w:firstLine="0" w:firstLineChars="0"/>
        <w:rPr>
          <w:rFonts w:hint="default"/>
          <w:color w:val="auto"/>
          <w:lang w:val="en-US" w:eastAsia="zh-CN"/>
        </w:rPr>
      </w:pPr>
      <w:bookmarkStart w:id="91" w:name="_Toc26395"/>
      <w:r>
        <w:rPr>
          <w:rFonts w:hint="default"/>
          <w:color w:val="auto"/>
          <w:lang w:val="en-US" w:eastAsia="zh-CN"/>
        </w:rPr>
        <w:t>与建设单位交换意见结果</w:t>
      </w:r>
      <w:bookmarkEnd w:id="91"/>
    </w:p>
    <w:p w14:paraId="14DC99C7">
      <w:pPr>
        <w:rPr>
          <w:rFonts w:hint="default"/>
          <w:lang w:val="en-US" w:eastAsia="zh-CN"/>
        </w:rPr>
      </w:pPr>
      <w:r>
        <w:rPr>
          <w:rFonts w:hint="default"/>
          <w:lang w:val="en-US" w:eastAsia="zh-CN"/>
        </w:rPr>
        <w:t>评价组检查人员在现场检查阶段和报告编制人员在报告编写过程中，与企业负责人和工程技术人员在广泛交换意见的基础上，对该企业采用的主要生产技术和工艺流程有了更深入的认识，对识、分析该企业主要生产工艺流程、生产装置及设备、设施所存在的固有危险、有害因素比较透彻，双方都有很多较大的收获，保证了本报告的编制工作得以顺利完成。交换意见主要如下</w:t>
      </w:r>
      <w:r>
        <w:rPr>
          <w:rFonts w:hint="eastAsia"/>
          <w:lang w:val="en-US" w:eastAsia="zh-CN"/>
        </w:rPr>
        <w:t>：</w:t>
      </w:r>
    </w:p>
    <w:p w14:paraId="1CF40A68">
      <w:pPr>
        <w:ind w:left="0" w:leftChars="0" w:firstLine="0" w:firstLineChars="0"/>
        <w:jc w:val="center"/>
      </w:pPr>
      <w:r>
        <w:drawing>
          <wp:inline distT="0" distB="0" distL="114300" distR="114300">
            <wp:extent cx="5400040" cy="5868670"/>
            <wp:effectExtent l="0" t="0" r="10160" b="177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2"/>
                    <a:stretch>
                      <a:fillRect/>
                    </a:stretch>
                  </pic:blipFill>
                  <pic:spPr>
                    <a:xfrm>
                      <a:off x="0" y="0"/>
                      <a:ext cx="5400040" cy="5868670"/>
                    </a:xfrm>
                    <a:prstGeom prst="rect">
                      <a:avLst/>
                    </a:prstGeom>
                    <a:noFill/>
                    <a:ln>
                      <a:noFill/>
                    </a:ln>
                  </pic:spPr>
                </pic:pic>
              </a:graphicData>
            </a:graphic>
          </wp:inline>
        </w:drawing>
      </w:r>
    </w:p>
    <w:p w14:paraId="62BB4560">
      <w:pPr>
        <w:ind w:left="0" w:leftChars="0" w:firstLine="0" w:firstLineChars="0"/>
        <w:jc w:val="center"/>
        <w:rPr>
          <w:rFonts w:hint="default"/>
          <w:lang w:val="en-US" w:eastAsia="zh-CN"/>
        </w:rPr>
      </w:pPr>
    </w:p>
    <w:p w14:paraId="55CC8C4A">
      <w:pPr>
        <w:rPr>
          <w:rFonts w:hint="default"/>
          <w:lang w:val="en-US" w:eastAsia="zh-CN"/>
        </w:rPr>
      </w:pPr>
      <w:r>
        <w:rPr>
          <w:rFonts w:hint="default"/>
          <w:lang w:val="en-US" w:eastAsia="zh-CN"/>
        </w:rPr>
        <w:br w:type="page"/>
      </w:r>
    </w:p>
    <w:p w14:paraId="7A080730">
      <w:pPr>
        <w:pStyle w:val="2"/>
        <w:bidi w:val="0"/>
        <w:rPr>
          <w:rFonts w:hint="default"/>
          <w:lang w:val="en-US" w:eastAsia="zh-CN"/>
        </w:rPr>
      </w:pPr>
      <w:bookmarkStart w:id="92" w:name="_Toc25751"/>
      <w:r>
        <w:rPr>
          <w:rFonts w:hint="default"/>
          <w:lang w:val="en-US" w:eastAsia="zh-CN"/>
        </w:rPr>
        <w:t>F1 危险物质理化性质</w:t>
      </w:r>
      <w:bookmarkEnd w:id="92"/>
    </w:p>
    <w:p w14:paraId="1144A57E">
      <w:pPr>
        <w:ind w:left="0" w:leftChars="0" w:firstLine="0" w:firstLineChars="0"/>
        <w:jc w:val="center"/>
        <w:rPr>
          <w:rFonts w:hint="default"/>
          <w:lang w:val="en-US" w:eastAsia="zh-CN"/>
        </w:rPr>
      </w:pPr>
      <w:r>
        <w:rPr>
          <w:rFonts w:hint="eastAsia"/>
          <w:lang w:val="en-US" w:eastAsia="zh-CN"/>
        </w:rPr>
        <w:t>表</w:t>
      </w:r>
      <w:r>
        <w:rPr>
          <w:rFonts w:hint="default"/>
          <w:lang w:val="en-US" w:eastAsia="zh-CN"/>
        </w:rPr>
        <w:t>F1.1-1 柴油</w:t>
      </w:r>
    </w:p>
    <w:tbl>
      <w:tblPr>
        <w:tblStyle w:val="2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2236"/>
        <w:gridCol w:w="1463"/>
        <w:gridCol w:w="1463"/>
        <w:gridCol w:w="1614"/>
        <w:gridCol w:w="1266"/>
      </w:tblGrid>
      <w:tr w14:paraId="720AD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69" w:type="pct"/>
            <w:noWrap w:val="0"/>
            <w:vAlign w:val="center"/>
          </w:tcPr>
          <w:p w14:paraId="6474BBC6">
            <w:pPr>
              <w:spacing w:line="240" w:lineRule="atLeast"/>
              <w:ind w:firstLine="0" w:firstLineChars="0"/>
              <w:jc w:val="center"/>
              <w:rPr>
                <w:b/>
                <w:bCs/>
                <w:color w:val="auto"/>
                <w:sz w:val="21"/>
                <w:szCs w:val="21"/>
              </w:rPr>
            </w:pPr>
            <w:r>
              <w:rPr>
                <w:b/>
                <w:bCs/>
                <w:color w:val="auto"/>
                <w:sz w:val="21"/>
                <w:szCs w:val="21"/>
              </w:rPr>
              <w:t>品    名</w:t>
            </w:r>
          </w:p>
        </w:tc>
        <w:tc>
          <w:tcPr>
            <w:tcW w:w="1204" w:type="pct"/>
            <w:noWrap w:val="0"/>
            <w:vAlign w:val="center"/>
          </w:tcPr>
          <w:p w14:paraId="25344196">
            <w:pPr>
              <w:spacing w:line="240" w:lineRule="atLeast"/>
              <w:ind w:firstLine="0" w:firstLineChars="0"/>
              <w:jc w:val="center"/>
              <w:rPr>
                <w:color w:val="auto"/>
                <w:sz w:val="21"/>
                <w:szCs w:val="21"/>
              </w:rPr>
            </w:pPr>
            <w:r>
              <w:rPr>
                <w:color w:val="auto"/>
                <w:sz w:val="21"/>
                <w:szCs w:val="21"/>
              </w:rPr>
              <w:t>柴油</w:t>
            </w:r>
          </w:p>
        </w:tc>
        <w:tc>
          <w:tcPr>
            <w:tcW w:w="788" w:type="pct"/>
            <w:noWrap w:val="0"/>
            <w:vAlign w:val="center"/>
          </w:tcPr>
          <w:p w14:paraId="2AF7F3CB">
            <w:pPr>
              <w:spacing w:line="240" w:lineRule="atLeast"/>
              <w:ind w:firstLine="0" w:firstLineChars="0"/>
              <w:jc w:val="center"/>
              <w:rPr>
                <w:b/>
                <w:bCs/>
                <w:color w:val="auto"/>
                <w:sz w:val="21"/>
                <w:szCs w:val="21"/>
              </w:rPr>
            </w:pPr>
            <w:r>
              <w:rPr>
                <w:b/>
                <w:bCs/>
                <w:color w:val="auto"/>
                <w:sz w:val="21"/>
                <w:szCs w:val="21"/>
              </w:rPr>
              <w:t>别      名</w:t>
            </w:r>
          </w:p>
        </w:tc>
        <w:tc>
          <w:tcPr>
            <w:tcW w:w="788" w:type="pct"/>
            <w:noWrap w:val="0"/>
            <w:vAlign w:val="center"/>
          </w:tcPr>
          <w:p w14:paraId="04D42F33">
            <w:pPr>
              <w:spacing w:line="240" w:lineRule="atLeast"/>
              <w:ind w:firstLine="0" w:firstLineChars="0"/>
              <w:jc w:val="center"/>
              <w:rPr>
                <w:color w:val="auto"/>
                <w:sz w:val="21"/>
                <w:szCs w:val="21"/>
              </w:rPr>
            </w:pPr>
          </w:p>
        </w:tc>
        <w:tc>
          <w:tcPr>
            <w:tcW w:w="869" w:type="pct"/>
            <w:noWrap w:val="0"/>
            <w:vAlign w:val="center"/>
          </w:tcPr>
          <w:p w14:paraId="06164337">
            <w:pPr>
              <w:spacing w:line="240" w:lineRule="atLeast"/>
              <w:ind w:firstLine="0" w:firstLineChars="0"/>
              <w:rPr>
                <w:b/>
                <w:bCs/>
                <w:color w:val="auto"/>
                <w:sz w:val="21"/>
                <w:szCs w:val="21"/>
              </w:rPr>
            </w:pPr>
            <w:r>
              <w:rPr>
                <w:b/>
                <w:bCs/>
                <w:color w:val="auto"/>
                <w:sz w:val="21"/>
                <w:szCs w:val="21"/>
              </w:rPr>
              <w:t>危险货物编号</w:t>
            </w:r>
          </w:p>
        </w:tc>
        <w:tc>
          <w:tcPr>
            <w:tcW w:w="680" w:type="pct"/>
            <w:noWrap w:val="0"/>
            <w:vAlign w:val="center"/>
          </w:tcPr>
          <w:p w14:paraId="0049295B">
            <w:pPr>
              <w:spacing w:line="240" w:lineRule="atLeast"/>
              <w:ind w:firstLine="0" w:firstLineChars="0"/>
              <w:rPr>
                <w:color w:val="auto"/>
                <w:sz w:val="21"/>
                <w:szCs w:val="21"/>
              </w:rPr>
            </w:pPr>
          </w:p>
        </w:tc>
      </w:tr>
      <w:tr w14:paraId="17C0C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669" w:type="pct"/>
            <w:noWrap w:val="0"/>
            <w:vAlign w:val="center"/>
          </w:tcPr>
          <w:p w14:paraId="046EC5C7">
            <w:pPr>
              <w:spacing w:line="240" w:lineRule="atLeast"/>
              <w:ind w:firstLine="0" w:firstLineChars="0"/>
              <w:jc w:val="center"/>
              <w:rPr>
                <w:b/>
                <w:bCs/>
                <w:color w:val="auto"/>
                <w:sz w:val="21"/>
                <w:szCs w:val="21"/>
              </w:rPr>
            </w:pPr>
            <w:r>
              <w:rPr>
                <w:b/>
                <w:bCs/>
                <w:color w:val="auto"/>
                <w:sz w:val="21"/>
                <w:szCs w:val="21"/>
              </w:rPr>
              <w:t>英文名称</w:t>
            </w:r>
          </w:p>
        </w:tc>
        <w:tc>
          <w:tcPr>
            <w:tcW w:w="1204" w:type="pct"/>
            <w:noWrap w:val="0"/>
            <w:vAlign w:val="center"/>
          </w:tcPr>
          <w:p w14:paraId="2148526C">
            <w:pPr>
              <w:spacing w:line="240" w:lineRule="atLeast"/>
              <w:ind w:firstLine="0" w:firstLineChars="0"/>
              <w:jc w:val="center"/>
              <w:rPr>
                <w:color w:val="auto"/>
                <w:sz w:val="21"/>
                <w:szCs w:val="21"/>
              </w:rPr>
            </w:pPr>
            <w:r>
              <w:rPr>
                <w:color w:val="auto"/>
                <w:sz w:val="21"/>
                <w:szCs w:val="21"/>
              </w:rPr>
              <w:t>Diesel  oil</w:t>
            </w:r>
          </w:p>
        </w:tc>
        <w:tc>
          <w:tcPr>
            <w:tcW w:w="788" w:type="pct"/>
            <w:noWrap w:val="0"/>
            <w:vAlign w:val="center"/>
          </w:tcPr>
          <w:p w14:paraId="23C182FE">
            <w:pPr>
              <w:spacing w:line="240" w:lineRule="atLeast"/>
              <w:ind w:firstLine="0" w:firstLineChars="0"/>
              <w:jc w:val="center"/>
              <w:rPr>
                <w:b/>
                <w:bCs/>
                <w:color w:val="auto"/>
                <w:sz w:val="21"/>
                <w:szCs w:val="21"/>
              </w:rPr>
            </w:pPr>
            <w:r>
              <w:rPr>
                <w:b/>
                <w:bCs/>
                <w:color w:val="auto"/>
                <w:sz w:val="21"/>
                <w:szCs w:val="21"/>
              </w:rPr>
              <w:t>分  子  式</w:t>
            </w:r>
          </w:p>
        </w:tc>
        <w:tc>
          <w:tcPr>
            <w:tcW w:w="788" w:type="pct"/>
            <w:noWrap w:val="0"/>
            <w:vAlign w:val="center"/>
          </w:tcPr>
          <w:p w14:paraId="7A7CE7FC">
            <w:pPr>
              <w:spacing w:line="240" w:lineRule="atLeast"/>
              <w:ind w:firstLine="0" w:firstLineChars="0"/>
              <w:jc w:val="center"/>
              <w:rPr>
                <w:color w:val="auto"/>
                <w:sz w:val="21"/>
                <w:szCs w:val="21"/>
              </w:rPr>
            </w:pPr>
          </w:p>
        </w:tc>
        <w:tc>
          <w:tcPr>
            <w:tcW w:w="869" w:type="pct"/>
            <w:noWrap w:val="0"/>
            <w:vAlign w:val="center"/>
          </w:tcPr>
          <w:p w14:paraId="2BF4E87D">
            <w:pPr>
              <w:spacing w:line="240" w:lineRule="atLeast"/>
              <w:ind w:firstLine="0" w:firstLineChars="0"/>
              <w:jc w:val="center"/>
              <w:rPr>
                <w:rFonts w:hint="default" w:eastAsia="宋体"/>
                <w:b/>
                <w:bCs/>
                <w:color w:val="auto"/>
                <w:sz w:val="21"/>
                <w:szCs w:val="21"/>
                <w:lang w:val="en-US" w:eastAsia="zh-CN"/>
              </w:rPr>
            </w:pPr>
            <w:r>
              <w:rPr>
                <w:rFonts w:hint="eastAsia"/>
                <w:b/>
                <w:bCs/>
                <w:color w:val="auto"/>
                <w:sz w:val="21"/>
                <w:szCs w:val="21"/>
                <w:lang w:val="en-US" w:eastAsia="zh-CN"/>
              </w:rPr>
              <w:t>CAS号</w:t>
            </w:r>
          </w:p>
        </w:tc>
        <w:tc>
          <w:tcPr>
            <w:tcW w:w="680" w:type="pct"/>
            <w:noWrap w:val="0"/>
            <w:vAlign w:val="center"/>
          </w:tcPr>
          <w:p w14:paraId="7633EBF1">
            <w:pPr>
              <w:spacing w:line="240" w:lineRule="atLeast"/>
              <w:ind w:firstLine="0" w:firstLineChars="0"/>
              <w:jc w:val="center"/>
              <w:rPr>
                <w:color w:val="auto"/>
                <w:sz w:val="21"/>
                <w:szCs w:val="21"/>
              </w:rPr>
            </w:pPr>
            <w:r>
              <w:rPr>
                <w:color w:val="auto"/>
                <w:sz w:val="21"/>
                <w:szCs w:val="21"/>
              </w:rPr>
              <w:t>68334-30-5</w:t>
            </w:r>
          </w:p>
        </w:tc>
      </w:tr>
      <w:tr w14:paraId="3D537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0" w:hRule="atLeast"/>
        </w:trPr>
        <w:tc>
          <w:tcPr>
            <w:tcW w:w="669" w:type="pct"/>
            <w:noWrap w:val="0"/>
            <w:vAlign w:val="center"/>
          </w:tcPr>
          <w:p w14:paraId="69D5928E">
            <w:pPr>
              <w:spacing w:line="240" w:lineRule="atLeast"/>
              <w:ind w:firstLine="0" w:firstLineChars="0"/>
              <w:jc w:val="center"/>
              <w:rPr>
                <w:b/>
                <w:bCs/>
                <w:color w:val="auto"/>
                <w:sz w:val="21"/>
                <w:szCs w:val="21"/>
              </w:rPr>
            </w:pPr>
            <w:r>
              <w:rPr>
                <w:b/>
                <w:bCs/>
                <w:color w:val="auto"/>
                <w:sz w:val="21"/>
                <w:szCs w:val="21"/>
              </w:rPr>
              <w:t>理</w:t>
            </w:r>
          </w:p>
          <w:p w14:paraId="3901967C">
            <w:pPr>
              <w:spacing w:line="240" w:lineRule="atLeast"/>
              <w:ind w:firstLine="0" w:firstLineChars="0"/>
              <w:jc w:val="center"/>
              <w:rPr>
                <w:b/>
                <w:bCs/>
                <w:color w:val="auto"/>
                <w:sz w:val="21"/>
                <w:szCs w:val="21"/>
              </w:rPr>
            </w:pPr>
            <w:r>
              <w:rPr>
                <w:b/>
                <w:bCs/>
                <w:color w:val="auto"/>
                <w:sz w:val="21"/>
                <w:szCs w:val="21"/>
              </w:rPr>
              <w:t>化</w:t>
            </w:r>
          </w:p>
          <w:p w14:paraId="207AC41B">
            <w:pPr>
              <w:spacing w:line="240" w:lineRule="atLeast"/>
              <w:ind w:firstLine="0" w:firstLineChars="0"/>
              <w:jc w:val="center"/>
              <w:rPr>
                <w:b/>
                <w:bCs/>
                <w:color w:val="auto"/>
                <w:sz w:val="21"/>
                <w:szCs w:val="21"/>
              </w:rPr>
            </w:pPr>
            <w:r>
              <w:rPr>
                <w:b/>
                <w:bCs/>
                <w:color w:val="auto"/>
                <w:sz w:val="21"/>
                <w:szCs w:val="21"/>
              </w:rPr>
              <w:t>性</w:t>
            </w:r>
          </w:p>
          <w:p w14:paraId="25BB91D7">
            <w:pPr>
              <w:spacing w:line="240" w:lineRule="atLeast"/>
              <w:ind w:firstLine="0" w:firstLineChars="0"/>
              <w:jc w:val="center"/>
              <w:rPr>
                <w:b/>
                <w:bCs/>
                <w:color w:val="auto"/>
                <w:sz w:val="21"/>
                <w:szCs w:val="21"/>
              </w:rPr>
            </w:pPr>
            <w:r>
              <w:rPr>
                <w:b/>
                <w:bCs/>
                <w:color w:val="auto"/>
                <w:sz w:val="21"/>
                <w:szCs w:val="21"/>
              </w:rPr>
              <w:t>质</w:t>
            </w:r>
          </w:p>
        </w:tc>
        <w:tc>
          <w:tcPr>
            <w:tcW w:w="4330" w:type="pct"/>
            <w:gridSpan w:val="5"/>
            <w:noWrap w:val="0"/>
            <w:vAlign w:val="center"/>
          </w:tcPr>
          <w:p w14:paraId="5C68EA61">
            <w:pPr>
              <w:spacing w:line="240" w:lineRule="atLeast"/>
              <w:ind w:firstLine="0" w:firstLineChars="0"/>
              <w:jc w:val="left"/>
              <w:rPr>
                <w:color w:val="auto"/>
                <w:sz w:val="21"/>
                <w:szCs w:val="21"/>
              </w:rPr>
            </w:pPr>
            <w:r>
              <w:rPr>
                <w:color w:val="auto"/>
                <w:kern w:val="0"/>
                <w:sz w:val="21"/>
                <w:szCs w:val="21"/>
              </w:rPr>
              <w:t>易燃液体</w:t>
            </w:r>
            <w:r>
              <w:rPr>
                <w:rFonts w:hint="eastAsia"/>
                <w:color w:val="auto"/>
                <w:kern w:val="0"/>
                <w:sz w:val="21"/>
                <w:szCs w:val="21"/>
                <w:lang w:eastAsia="zh-CN"/>
              </w:rPr>
              <w:t>，</w:t>
            </w:r>
            <w:r>
              <w:rPr>
                <w:color w:val="auto"/>
                <w:kern w:val="0"/>
                <w:sz w:val="21"/>
                <w:szCs w:val="21"/>
              </w:rPr>
              <w:t>类别3</w:t>
            </w:r>
          </w:p>
          <w:p w14:paraId="6BE229CF">
            <w:pPr>
              <w:spacing w:line="240" w:lineRule="atLeast"/>
              <w:ind w:firstLine="0" w:firstLineChars="0"/>
              <w:jc w:val="left"/>
              <w:rPr>
                <w:color w:val="auto"/>
                <w:sz w:val="21"/>
                <w:szCs w:val="21"/>
              </w:rPr>
            </w:pPr>
            <w:r>
              <w:rPr>
                <w:color w:val="auto"/>
                <w:sz w:val="21"/>
                <w:szCs w:val="21"/>
              </w:rPr>
              <w:t>外观与性状：稍有粘性的棕色液体。</w:t>
            </w:r>
          </w:p>
          <w:p w14:paraId="0BA96ACB">
            <w:pPr>
              <w:spacing w:line="240" w:lineRule="atLeast"/>
              <w:ind w:firstLine="0" w:firstLineChars="0"/>
              <w:jc w:val="left"/>
              <w:rPr>
                <w:color w:val="auto"/>
                <w:sz w:val="21"/>
                <w:szCs w:val="21"/>
              </w:rPr>
            </w:pPr>
            <w:r>
              <w:rPr>
                <w:color w:val="auto"/>
                <w:sz w:val="21"/>
                <w:szCs w:val="21"/>
              </w:rPr>
              <w:t>熔点（℃）：&lt;</w:t>
            </w:r>
            <w:r>
              <w:rPr>
                <w:rFonts w:hint="eastAsia" w:ascii="宋体" w:hAnsi="宋体" w:eastAsia="宋体" w:cs="宋体"/>
                <w:color w:val="auto"/>
                <w:sz w:val="21"/>
                <w:szCs w:val="21"/>
              </w:rPr>
              <w:t>-</w:t>
            </w:r>
            <w:r>
              <w:rPr>
                <w:color w:val="auto"/>
                <w:sz w:val="21"/>
                <w:szCs w:val="21"/>
              </w:rPr>
              <w:t>18               沸点（℃）：282</w:t>
            </w:r>
            <w:r>
              <w:rPr>
                <w:rFonts w:hint="eastAsia" w:ascii="宋体" w:hAnsi="宋体" w:eastAsia="宋体" w:cs="宋体"/>
                <w:color w:val="auto"/>
                <w:sz w:val="21"/>
                <w:szCs w:val="21"/>
              </w:rPr>
              <w:t>-</w:t>
            </w:r>
            <w:r>
              <w:rPr>
                <w:color w:val="auto"/>
                <w:sz w:val="21"/>
                <w:szCs w:val="21"/>
              </w:rPr>
              <w:t>338</w:t>
            </w:r>
          </w:p>
          <w:p w14:paraId="39ECF88F">
            <w:pPr>
              <w:spacing w:line="240" w:lineRule="atLeast"/>
              <w:ind w:firstLine="0" w:firstLineChars="0"/>
              <w:jc w:val="left"/>
              <w:rPr>
                <w:color w:val="auto"/>
                <w:sz w:val="21"/>
                <w:szCs w:val="21"/>
              </w:rPr>
            </w:pPr>
            <w:r>
              <w:rPr>
                <w:color w:val="auto"/>
                <w:sz w:val="21"/>
                <w:szCs w:val="21"/>
              </w:rPr>
              <w:t>相对密度（水＝1）：0.8</w:t>
            </w:r>
            <w:r>
              <w:rPr>
                <w:rFonts w:hint="eastAsia" w:ascii="宋体" w:hAnsi="宋体" w:eastAsia="宋体" w:cs="宋体"/>
                <w:color w:val="auto"/>
                <w:sz w:val="21"/>
                <w:szCs w:val="21"/>
              </w:rPr>
              <w:t>-</w:t>
            </w:r>
            <w:r>
              <w:rPr>
                <w:color w:val="auto"/>
                <w:sz w:val="21"/>
                <w:szCs w:val="21"/>
              </w:rPr>
              <w:t>0.9     相对密度（空气＝1）：</w:t>
            </w:r>
          </w:p>
          <w:p w14:paraId="0BB78DAB">
            <w:pPr>
              <w:spacing w:line="240" w:lineRule="atLeast"/>
              <w:ind w:firstLine="0" w:firstLineChars="0"/>
              <w:jc w:val="left"/>
              <w:rPr>
                <w:color w:val="auto"/>
                <w:sz w:val="21"/>
                <w:szCs w:val="21"/>
              </w:rPr>
            </w:pPr>
            <w:r>
              <w:rPr>
                <w:color w:val="auto"/>
                <w:sz w:val="21"/>
                <w:szCs w:val="21"/>
              </w:rPr>
              <w:t>饱和蒸气压（kPa）：无资料         燃烧热（Kj/mol）：无资料</w:t>
            </w:r>
          </w:p>
        </w:tc>
      </w:tr>
      <w:tr w14:paraId="014C4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1" w:hRule="atLeast"/>
        </w:trPr>
        <w:tc>
          <w:tcPr>
            <w:tcW w:w="669" w:type="pct"/>
            <w:noWrap w:val="0"/>
            <w:vAlign w:val="center"/>
          </w:tcPr>
          <w:p w14:paraId="5828AF2D">
            <w:pPr>
              <w:spacing w:line="240" w:lineRule="atLeast"/>
              <w:ind w:firstLine="0" w:firstLineChars="0"/>
              <w:jc w:val="center"/>
              <w:rPr>
                <w:b/>
                <w:bCs/>
                <w:color w:val="auto"/>
                <w:sz w:val="21"/>
                <w:szCs w:val="21"/>
              </w:rPr>
            </w:pPr>
            <w:r>
              <w:rPr>
                <w:b/>
                <w:bCs/>
                <w:color w:val="auto"/>
                <w:sz w:val="21"/>
                <w:szCs w:val="21"/>
              </w:rPr>
              <w:t>燃烧</w:t>
            </w:r>
          </w:p>
          <w:p w14:paraId="70463523">
            <w:pPr>
              <w:spacing w:line="240" w:lineRule="atLeast"/>
              <w:ind w:firstLine="0" w:firstLineChars="0"/>
              <w:jc w:val="center"/>
              <w:rPr>
                <w:b/>
                <w:bCs/>
                <w:color w:val="auto"/>
                <w:sz w:val="21"/>
                <w:szCs w:val="21"/>
              </w:rPr>
            </w:pPr>
            <w:r>
              <w:rPr>
                <w:b/>
                <w:bCs/>
                <w:color w:val="auto"/>
                <w:sz w:val="21"/>
                <w:szCs w:val="21"/>
              </w:rPr>
              <w:t>爆炸</w:t>
            </w:r>
          </w:p>
          <w:p w14:paraId="3C626B36">
            <w:pPr>
              <w:spacing w:line="240" w:lineRule="atLeast"/>
              <w:ind w:firstLine="0" w:firstLineChars="0"/>
              <w:jc w:val="center"/>
              <w:rPr>
                <w:b/>
                <w:bCs/>
                <w:color w:val="auto"/>
                <w:sz w:val="21"/>
                <w:szCs w:val="21"/>
              </w:rPr>
            </w:pPr>
            <w:r>
              <w:rPr>
                <w:b/>
                <w:bCs/>
                <w:color w:val="auto"/>
                <w:sz w:val="21"/>
                <w:szCs w:val="21"/>
              </w:rPr>
              <w:t>危险</w:t>
            </w:r>
          </w:p>
          <w:p w14:paraId="2F932407">
            <w:pPr>
              <w:spacing w:line="240" w:lineRule="atLeast"/>
              <w:ind w:firstLine="0" w:firstLineChars="0"/>
              <w:jc w:val="center"/>
              <w:rPr>
                <w:b/>
                <w:bCs/>
                <w:color w:val="auto"/>
                <w:sz w:val="21"/>
                <w:szCs w:val="21"/>
              </w:rPr>
            </w:pPr>
            <w:r>
              <w:rPr>
                <w:b/>
                <w:bCs/>
                <w:color w:val="auto"/>
                <w:sz w:val="21"/>
                <w:szCs w:val="21"/>
              </w:rPr>
              <w:t>性</w:t>
            </w:r>
          </w:p>
        </w:tc>
        <w:tc>
          <w:tcPr>
            <w:tcW w:w="4330" w:type="pct"/>
            <w:gridSpan w:val="5"/>
            <w:noWrap w:val="0"/>
            <w:vAlign w:val="top"/>
          </w:tcPr>
          <w:p w14:paraId="5289DD94">
            <w:pPr>
              <w:spacing w:line="240" w:lineRule="atLeast"/>
              <w:ind w:firstLine="0" w:firstLineChars="0"/>
              <w:rPr>
                <w:color w:val="auto"/>
                <w:sz w:val="21"/>
                <w:szCs w:val="21"/>
              </w:rPr>
            </w:pPr>
            <w:r>
              <w:rPr>
                <w:color w:val="auto"/>
                <w:sz w:val="21"/>
                <w:szCs w:val="21"/>
              </w:rPr>
              <w:t>燃烧性：易燃     建规火险等级：丙</w:t>
            </w:r>
            <w:r>
              <w:rPr>
                <w:color w:val="auto"/>
                <w:sz w:val="21"/>
                <w:szCs w:val="21"/>
                <w:vertAlign w:val="subscript"/>
              </w:rPr>
              <w:t>A</w:t>
            </w:r>
            <w:r>
              <w:rPr>
                <w:color w:val="auto"/>
                <w:sz w:val="21"/>
                <w:szCs w:val="21"/>
              </w:rPr>
              <w:t>类</w:t>
            </w:r>
          </w:p>
          <w:p w14:paraId="795DAD64">
            <w:pPr>
              <w:spacing w:line="240" w:lineRule="atLeast"/>
              <w:ind w:firstLine="0" w:firstLineChars="0"/>
              <w:rPr>
                <w:color w:val="auto"/>
                <w:sz w:val="21"/>
                <w:szCs w:val="21"/>
              </w:rPr>
            </w:pPr>
            <w:r>
              <w:rPr>
                <w:color w:val="auto"/>
                <w:sz w:val="21"/>
                <w:szCs w:val="21"/>
              </w:rPr>
              <w:t>闪点：≥60℃      爆炸下限（V%）：无资料      自燃温度：257℃</w:t>
            </w:r>
          </w:p>
          <w:p w14:paraId="75914973">
            <w:pPr>
              <w:spacing w:line="240" w:lineRule="atLeast"/>
              <w:ind w:firstLine="0" w:firstLineChars="0"/>
              <w:rPr>
                <w:color w:val="auto"/>
                <w:sz w:val="21"/>
                <w:szCs w:val="21"/>
              </w:rPr>
            </w:pPr>
            <w:r>
              <w:rPr>
                <w:color w:val="auto"/>
                <w:sz w:val="21"/>
                <w:szCs w:val="21"/>
              </w:rPr>
              <w:t>危险特性：遇明火、高热或与氧化剂接触，有引起燃烧爆炸的危险。若遇高热，容器内压增大，有开裂和爆炸的危险。</w:t>
            </w:r>
          </w:p>
          <w:p w14:paraId="0776A371">
            <w:pPr>
              <w:spacing w:line="240" w:lineRule="atLeast"/>
              <w:ind w:firstLine="0" w:firstLineChars="0"/>
              <w:rPr>
                <w:color w:val="auto"/>
                <w:sz w:val="21"/>
                <w:szCs w:val="21"/>
              </w:rPr>
            </w:pPr>
            <w:r>
              <w:rPr>
                <w:color w:val="auto"/>
                <w:sz w:val="21"/>
                <w:szCs w:val="21"/>
              </w:rPr>
              <w:t>稳定性：稳定            聚合危害：无</w:t>
            </w:r>
          </w:p>
          <w:p w14:paraId="09761AAC">
            <w:pPr>
              <w:spacing w:line="240" w:lineRule="atLeast"/>
              <w:ind w:firstLine="0" w:firstLineChars="0"/>
              <w:rPr>
                <w:color w:val="auto"/>
                <w:sz w:val="21"/>
                <w:szCs w:val="21"/>
              </w:rPr>
            </w:pPr>
            <w:r>
              <w:rPr>
                <w:color w:val="auto"/>
                <w:sz w:val="21"/>
                <w:szCs w:val="21"/>
              </w:rPr>
              <w:t>禁忌物：强氧化剂、卤素。       灭火方法：泡沫、二氧化碳、干粉、砂土。</w:t>
            </w:r>
          </w:p>
        </w:tc>
      </w:tr>
      <w:tr w14:paraId="65BA4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78" w:hRule="atLeast"/>
        </w:trPr>
        <w:tc>
          <w:tcPr>
            <w:tcW w:w="669" w:type="pct"/>
            <w:noWrap w:val="0"/>
            <w:vAlign w:val="center"/>
          </w:tcPr>
          <w:p w14:paraId="65CECBD3">
            <w:pPr>
              <w:spacing w:line="240" w:lineRule="atLeast"/>
              <w:ind w:firstLine="0" w:firstLineChars="0"/>
              <w:jc w:val="center"/>
              <w:rPr>
                <w:b/>
                <w:bCs/>
                <w:color w:val="auto"/>
                <w:sz w:val="21"/>
                <w:szCs w:val="21"/>
              </w:rPr>
            </w:pPr>
            <w:r>
              <w:rPr>
                <w:b/>
                <w:bCs/>
                <w:color w:val="auto"/>
                <w:sz w:val="21"/>
                <w:szCs w:val="21"/>
              </w:rPr>
              <w:t>毒性</w:t>
            </w:r>
          </w:p>
          <w:p w14:paraId="36CAEC6D">
            <w:pPr>
              <w:spacing w:line="240" w:lineRule="atLeast"/>
              <w:ind w:firstLine="0" w:firstLineChars="0"/>
              <w:jc w:val="center"/>
              <w:rPr>
                <w:b/>
                <w:bCs/>
                <w:color w:val="auto"/>
                <w:sz w:val="21"/>
                <w:szCs w:val="21"/>
              </w:rPr>
            </w:pPr>
            <w:r>
              <w:rPr>
                <w:b/>
                <w:bCs/>
                <w:color w:val="auto"/>
                <w:sz w:val="21"/>
                <w:szCs w:val="21"/>
              </w:rPr>
              <w:t>及</w:t>
            </w:r>
          </w:p>
          <w:p w14:paraId="3B9C9B6A">
            <w:pPr>
              <w:spacing w:line="240" w:lineRule="atLeast"/>
              <w:ind w:firstLine="0" w:firstLineChars="0"/>
              <w:jc w:val="center"/>
              <w:rPr>
                <w:b/>
                <w:bCs/>
                <w:color w:val="auto"/>
                <w:sz w:val="21"/>
                <w:szCs w:val="21"/>
              </w:rPr>
            </w:pPr>
            <w:r>
              <w:rPr>
                <w:b/>
                <w:bCs/>
                <w:color w:val="auto"/>
                <w:sz w:val="21"/>
                <w:szCs w:val="21"/>
              </w:rPr>
              <w:t>健康</w:t>
            </w:r>
          </w:p>
          <w:p w14:paraId="069C9D4E">
            <w:pPr>
              <w:spacing w:line="240" w:lineRule="atLeast"/>
              <w:ind w:firstLine="0" w:firstLineChars="0"/>
              <w:jc w:val="center"/>
              <w:rPr>
                <w:b/>
                <w:bCs/>
                <w:color w:val="auto"/>
                <w:sz w:val="21"/>
                <w:szCs w:val="21"/>
              </w:rPr>
            </w:pPr>
            <w:r>
              <w:rPr>
                <w:b/>
                <w:bCs/>
                <w:color w:val="auto"/>
                <w:sz w:val="21"/>
                <w:szCs w:val="21"/>
              </w:rPr>
              <w:t>危害</w:t>
            </w:r>
          </w:p>
          <w:p w14:paraId="482B821B">
            <w:pPr>
              <w:spacing w:line="240" w:lineRule="atLeast"/>
              <w:ind w:firstLine="0" w:firstLineChars="0"/>
              <w:jc w:val="center"/>
              <w:rPr>
                <w:b/>
                <w:bCs/>
                <w:color w:val="auto"/>
                <w:sz w:val="21"/>
                <w:szCs w:val="21"/>
              </w:rPr>
            </w:pPr>
            <w:r>
              <w:rPr>
                <w:b/>
                <w:bCs/>
                <w:color w:val="auto"/>
                <w:sz w:val="21"/>
                <w:szCs w:val="21"/>
              </w:rPr>
              <w:t>性</w:t>
            </w:r>
          </w:p>
        </w:tc>
        <w:tc>
          <w:tcPr>
            <w:tcW w:w="4330" w:type="pct"/>
            <w:gridSpan w:val="5"/>
            <w:noWrap w:val="0"/>
            <w:vAlign w:val="center"/>
          </w:tcPr>
          <w:p w14:paraId="3C4421B9">
            <w:pPr>
              <w:spacing w:line="240" w:lineRule="atLeast"/>
              <w:ind w:firstLine="0" w:firstLineChars="0"/>
              <w:rPr>
                <w:color w:val="auto"/>
                <w:sz w:val="21"/>
                <w:szCs w:val="21"/>
              </w:rPr>
            </w:pPr>
            <w:r>
              <w:rPr>
                <w:color w:val="auto"/>
                <w:sz w:val="21"/>
                <w:szCs w:val="21"/>
              </w:rPr>
              <w:t xml:space="preserve">接触限值：中国MAC：未制定标准。    </w:t>
            </w:r>
          </w:p>
          <w:p w14:paraId="19A556D7">
            <w:pPr>
              <w:spacing w:line="240" w:lineRule="atLeast"/>
              <w:ind w:firstLine="0" w:firstLineChars="0"/>
              <w:rPr>
                <w:color w:val="auto"/>
                <w:sz w:val="21"/>
                <w:szCs w:val="21"/>
              </w:rPr>
            </w:pPr>
            <w:r>
              <w:rPr>
                <w:color w:val="auto"/>
                <w:sz w:val="21"/>
                <w:szCs w:val="21"/>
              </w:rPr>
              <w:t>侵入途径：吸入，食入，经皮</w:t>
            </w:r>
            <w:r>
              <w:rPr>
                <w:rFonts w:hint="eastAsia"/>
                <w:color w:val="auto"/>
                <w:sz w:val="21"/>
                <w:szCs w:val="21"/>
                <w:lang w:eastAsia="zh-CN"/>
              </w:rPr>
              <w:t>肤</w:t>
            </w:r>
            <w:r>
              <w:rPr>
                <w:color w:val="auto"/>
                <w:sz w:val="21"/>
                <w:szCs w:val="21"/>
              </w:rPr>
              <w:t>吸收。</w:t>
            </w:r>
          </w:p>
          <w:p w14:paraId="4138F366">
            <w:pPr>
              <w:spacing w:line="240" w:lineRule="atLeast"/>
              <w:ind w:firstLine="0" w:firstLineChars="0"/>
              <w:rPr>
                <w:color w:val="auto"/>
                <w:sz w:val="21"/>
                <w:szCs w:val="21"/>
              </w:rPr>
            </w:pPr>
            <w:r>
              <w:rPr>
                <w:color w:val="auto"/>
                <w:sz w:val="21"/>
                <w:szCs w:val="21"/>
              </w:rPr>
              <w:t>健康危害：具有刺激作用。皮肤接触柴油可引起接触性皮炎，油性痤疮，吸入可引起</w:t>
            </w:r>
            <w:r>
              <w:rPr>
                <w:rFonts w:hint="eastAsia"/>
                <w:color w:val="auto"/>
                <w:sz w:val="21"/>
                <w:szCs w:val="21"/>
                <w:lang w:eastAsia="zh-CN"/>
              </w:rPr>
              <w:t>肺炎</w:t>
            </w:r>
            <w:r>
              <w:rPr>
                <w:color w:val="auto"/>
                <w:sz w:val="21"/>
                <w:szCs w:val="21"/>
              </w:rPr>
              <w:t>。能经胎盘进入胎儿血中。柴油废气可引起眼、鼻刺激症状，头晕及头痛。</w:t>
            </w:r>
          </w:p>
        </w:tc>
      </w:tr>
      <w:tr w14:paraId="7F957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5" w:hRule="atLeast"/>
        </w:trPr>
        <w:tc>
          <w:tcPr>
            <w:tcW w:w="669" w:type="pct"/>
            <w:noWrap w:val="0"/>
            <w:vAlign w:val="center"/>
          </w:tcPr>
          <w:p w14:paraId="19832026">
            <w:pPr>
              <w:spacing w:line="240" w:lineRule="atLeast"/>
              <w:ind w:firstLine="0" w:firstLineChars="0"/>
              <w:jc w:val="center"/>
              <w:rPr>
                <w:b/>
                <w:bCs/>
                <w:color w:val="auto"/>
                <w:sz w:val="21"/>
                <w:szCs w:val="21"/>
              </w:rPr>
            </w:pPr>
            <w:r>
              <w:rPr>
                <w:b/>
                <w:bCs/>
                <w:color w:val="auto"/>
                <w:sz w:val="21"/>
                <w:szCs w:val="21"/>
              </w:rPr>
              <w:t>急救</w:t>
            </w:r>
          </w:p>
        </w:tc>
        <w:tc>
          <w:tcPr>
            <w:tcW w:w="4330" w:type="pct"/>
            <w:gridSpan w:val="5"/>
            <w:noWrap w:val="0"/>
            <w:vAlign w:val="center"/>
          </w:tcPr>
          <w:p w14:paraId="6C5FF1EF">
            <w:pPr>
              <w:spacing w:line="240" w:lineRule="atLeast"/>
              <w:ind w:firstLine="0" w:firstLineChars="0"/>
              <w:rPr>
                <w:color w:val="auto"/>
                <w:sz w:val="21"/>
                <w:szCs w:val="21"/>
              </w:rPr>
            </w:pPr>
            <w:r>
              <w:rPr>
                <w:color w:val="auto"/>
                <w:sz w:val="21"/>
                <w:szCs w:val="21"/>
              </w:rPr>
              <w:t>吸入：迅速脱离污染区，就医。防治吸入性肺炎。</w:t>
            </w:r>
          </w:p>
          <w:p w14:paraId="2EE19637">
            <w:pPr>
              <w:spacing w:line="240" w:lineRule="atLeast"/>
              <w:ind w:firstLine="0" w:firstLineChars="0"/>
              <w:rPr>
                <w:color w:val="auto"/>
                <w:sz w:val="21"/>
                <w:szCs w:val="21"/>
              </w:rPr>
            </w:pPr>
            <w:r>
              <w:rPr>
                <w:color w:val="auto"/>
                <w:sz w:val="21"/>
                <w:szCs w:val="21"/>
              </w:rPr>
              <w:t>食入：误服者饮牛奶或植物油，洗胃或灌肠，就医。</w:t>
            </w:r>
            <w:r>
              <w:rPr>
                <w:color w:val="auto"/>
                <w:sz w:val="21"/>
                <w:szCs w:val="21"/>
              </w:rPr>
              <w:tab/>
            </w:r>
            <w:r>
              <w:rPr>
                <w:color w:val="auto"/>
                <w:sz w:val="21"/>
                <w:szCs w:val="21"/>
              </w:rPr>
              <w:tab/>
            </w:r>
          </w:p>
          <w:p w14:paraId="59EF0454">
            <w:pPr>
              <w:spacing w:line="240" w:lineRule="atLeast"/>
              <w:ind w:firstLine="0" w:firstLineChars="0"/>
              <w:rPr>
                <w:color w:val="auto"/>
                <w:sz w:val="21"/>
                <w:szCs w:val="21"/>
              </w:rPr>
            </w:pPr>
            <w:r>
              <w:rPr>
                <w:color w:val="auto"/>
                <w:sz w:val="21"/>
                <w:szCs w:val="21"/>
              </w:rPr>
              <w:t>眼睛接触：立即提起眼睑，用流动清水或生理盐水冲洗至少15分钟，就医。</w:t>
            </w:r>
          </w:p>
          <w:p w14:paraId="418F10B1">
            <w:pPr>
              <w:spacing w:line="240" w:lineRule="atLeast"/>
              <w:ind w:firstLine="0" w:firstLineChars="0"/>
              <w:rPr>
                <w:color w:val="auto"/>
                <w:sz w:val="21"/>
                <w:szCs w:val="21"/>
              </w:rPr>
            </w:pPr>
            <w:r>
              <w:rPr>
                <w:color w:val="auto"/>
                <w:sz w:val="21"/>
                <w:szCs w:val="21"/>
              </w:rPr>
              <w:t>皮肤接触：脱去污染的衣着，用肥皂和大量清水清洗污染皮肤。</w:t>
            </w:r>
            <w:r>
              <w:rPr>
                <w:color w:val="auto"/>
                <w:sz w:val="21"/>
                <w:szCs w:val="21"/>
              </w:rPr>
              <w:tab/>
            </w:r>
          </w:p>
          <w:p w14:paraId="23FC644B">
            <w:pPr>
              <w:spacing w:line="240" w:lineRule="atLeast"/>
              <w:ind w:firstLine="0" w:firstLineChars="0"/>
              <w:rPr>
                <w:color w:val="auto"/>
                <w:sz w:val="21"/>
                <w:szCs w:val="21"/>
              </w:rPr>
            </w:pPr>
            <w:r>
              <w:rPr>
                <w:color w:val="auto"/>
                <w:sz w:val="21"/>
                <w:szCs w:val="21"/>
              </w:rPr>
              <w:t>生产过程密闭，注意通风。高浓度接触时，戴防毒面具，工作场所禁止吸烟必要时戴防护眼镜，穿相应的工作服，戴防护手套。</w:t>
            </w:r>
          </w:p>
        </w:tc>
      </w:tr>
      <w:tr w14:paraId="79D9E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1" w:hRule="atLeast"/>
        </w:trPr>
        <w:tc>
          <w:tcPr>
            <w:tcW w:w="669" w:type="pct"/>
            <w:noWrap w:val="0"/>
            <w:vAlign w:val="center"/>
          </w:tcPr>
          <w:p w14:paraId="512F74F8">
            <w:pPr>
              <w:spacing w:line="240" w:lineRule="atLeast"/>
              <w:ind w:firstLine="0" w:firstLineChars="0"/>
              <w:jc w:val="center"/>
              <w:rPr>
                <w:b/>
                <w:bCs/>
                <w:color w:val="auto"/>
                <w:sz w:val="21"/>
                <w:szCs w:val="21"/>
              </w:rPr>
            </w:pPr>
            <w:r>
              <w:rPr>
                <w:b/>
                <w:bCs/>
                <w:color w:val="auto"/>
                <w:sz w:val="21"/>
                <w:szCs w:val="21"/>
              </w:rPr>
              <w:t>泄漏</w:t>
            </w:r>
          </w:p>
          <w:p w14:paraId="0591DF40">
            <w:pPr>
              <w:spacing w:line="240" w:lineRule="atLeast"/>
              <w:ind w:firstLine="0" w:firstLineChars="0"/>
              <w:jc w:val="center"/>
              <w:rPr>
                <w:b/>
                <w:bCs/>
                <w:color w:val="auto"/>
                <w:sz w:val="21"/>
                <w:szCs w:val="21"/>
              </w:rPr>
            </w:pPr>
            <w:r>
              <w:rPr>
                <w:b/>
                <w:bCs/>
                <w:color w:val="auto"/>
                <w:sz w:val="21"/>
                <w:szCs w:val="21"/>
              </w:rPr>
              <w:t>处置</w:t>
            </w:r>
          </w:p>
        </w:tc>
        <w:tc>
          <w:tcPr>
            <w:tcW w:w="4330" w:type="pct"/>
            <w:gridSpan w:val="5"/>
            <w:noWrap w:val="0"/>
            <w:vAlign w:val="center"/>
          </w:tcPr>
          <w:p w14:paraId="680F3EED">
            <w:pPr>
              <w:spacing w:line="240" w:lineRule="atLeast"/>
              <w:ind w:firstLine="0" w:firstLineChars="0"/>
              <w:rPr>
                <w:color w:val="auto"/>
                <w:sz w:val="21"/>
                <w:szCs w:val="21"/>
              </w:rPr>
            </w:pPr>
            <w:r>
              <w:rPr>
                <w:color w:val="auto"/>
                <w:sz w:val="21"/>
                <w:szCs w:val="21"/>
              </w:rPr>
              <w:t>切断一切火源，迅速撤离污染区人员至上风处。使用防毒面具，穿防静电工作服。在确保安全的前提下堵漏。用砂土或其它不燃性吸附剂混合吸收，然后收集至废物处理。</w:t>
            </w:r>
          </w:p>
        </w:tc>
      </w:tr>
    </w:tbl>
    <w:p w14:paraId="2466D71E">
      <w:pPr>
        <w:ind w:left="0" w:leftChars="0" w:firstLine="0" w:firstLineChars="0"/>
        <w:jc w:val="center"/>
        <w:rPr>
          <w:rFonts w:hint="default"/>
          <w:lang w:val="en-US" w:eastAsia="zh-CN"/>
        </w:rPr>
      </w:pPr>
    </w:p>
    <w:p w14:paraId="623D5CE2">
      <w:pPr>
        <w:rPr>
          <w:rFonts w:hint="default"/>
          <w:lang w:val="en-US" w:eastAsia="zh-CN"/>
        </w:rPr>
      </w:pPr>
      <w:r>
        <w:rPr>
          <w:rFonts w:hint="default"/>
          <w:lang w:val="en-US" w:eastAsia="zh-CN"/>
        </w:rPr>
        <w:br w:type="page"/>
      </w:r>
    </w:p>
    <w:p w14:paraId="0276B769">
      <w:pPr>
        <w:pStyle w:val="2"/>
        <w:bidi w:val="0"/>
        <w:rPr>
          <w:rFonts w:hint="default"/>
          <w:lang w:val="en-US" w:eastAsia="zh-CN"/>
        </w:rPr>
      </w:pPr>
      <w:bookmarkStart w:id="93" w:name="_Toc3964"/>
      <w:r>
        <w:rPr>
          <w:rFonts w:hint="default"/>
          <w:lang w:val="en-US" w:eastAsia="zh-CN"/>
        </w:rPr>
        <w:t>F2 选用的评价方法简介</w:t>
      </w:r>
      <w:bookmarkEnd w:id="93"/>
    </w:p>
    <w:p w14:paraId="0331D060">
      <w:pPr>
        <w:pStyle w:val="3"/>
        <w:bidi w:val="0"/>
        <w:rPr>
          <w:rFonts w:hint="default"/>
          <w:lang w:val="en-US" w:eastAsia="zh-CN"/>
        </w:rPr>
      </w:pPr>
      <w:bookmarkStart w:id="94" w:name="_Toc4432"/>
      <w:r>
        <w:rPr>
          <w:rFonts w:hint="default"/>
          <w:lang w:val="en-US" w:eastAsia="zh-CN"/>
        </w:rPr>
        <w:t>F2.1 安全检查表法（SCL）</w:t>
      </w:r>
      <w:bookmarkEnd w:id="94"/>
    </w:p>
    <w:p w14:paraId="611A4AF3">
      <w:pPr>
        <w:rPr>
          <w:rFonts w:hint="default"/>
          <w:lang w:val="en-US" w:eastAsia="zh-CN"/>
        </w:rPr>
      </w:pPr>
      <w:r>
        <w:rPr>
          <w:rFonts w:hint="default"/>
          <w:lang w:val="en-US" w:eastAsia="zh-CN"/>
        </w:rPr>
        <w:t>安全检查表法（SAFETY CHECK LIST，缩写SCL）是系统安全工程的评价方法中最基础、最简便的评价方法，也是广泛应用、成效显著的一种评价方法。</w:t>
      </w:r>
    </w:p>
    <w:p w14:paraId="7B50F090">
      <w:pPr>
        <w:rPr>
          <w:rFonts w:hint="default"/>
          <w:lang w:val="en-US" w:eastAsia="zh-CN"/>
        </w:rPr>
      </w:pPr>
      <w:r>
        <w:rPr>
          <w:rFonts w:hint="default"/>
          <w:lang w:val="en-US" w:eastAsia="zh-CN"/>
        </w:rPr>
        <w:t>安全检查表法是一种定性安全评价方法。主要优点为：</w:t>
      </w:r>
    </w:p>
    <w:p w14:paraId="580598E1">
      <w:pPr>
        <w:rPr>
          <w:rFonts w:hint="default"/>
          <w:lang w:val="en-US" w:eastAsia="zh-CN"/>
        </w:rPr>
      </w:pPr>
      <w:r>
        <w:rPr>
          <w:rFonts w:hint="default"/>
          <w:lang w:val="en-US" w:eastAsia="zh-CN"/>
        </w:rPr>
        <w:t>检查项目系统、完整，可以做到不遗漏任何能导致危险的关键因素，因而可保证安全检查的质量。</w:t>
      </w:r>
    </w:p>
    <w:p w14:paraId="43FB0BC7">
      <w:pPr>
        <w:rPr>
          <w:rFonts w:hint="default"/>
          <w:lang w:val="en-US" w:eastAsia="zh-CN"/>
        </w:rPr>
      </w:pPr>
      <w:r>
        <w:rPr>
          <w:rFonts w:hint="default"/>
          <w:lang w:val="en-US" w:eastAsia="zh-CN"/>
        </w:rPr>
        <w:t>安全检查表采用提问的方式，能使人知道如何做才是正确的，因而可起到安全教育的作用。</w:t>
      </w:r>
    </w:p>
    <w:p w14:paraId="598BD139">
      <w:pPr>
        <w:rPr>
          <w:rFonts w:hint="default"/>
          <w:lang w:val="en-US" w:eastAsia="zh-CN"/>
        </w:rPr>
      </w:pPr>
      <w:r>
        <w:rPr>
          <w:rFonts w:hint="default"/>
          <w:lang w:val="en-US" w:eastAsia="zh-CN"/>
        </w:rPr>
        <w:t>编制安全检查表的过程本身就是一个系统安全分析过程，可使检查人员对系统的认识更深刻，更便于发现危险因素。</w:t>
      </w:r>
    </w:p>
    <w:p w14:paraId="63066F89">
      <w:pPr>
        <w:pStyle w:val="3"/>
        <w:bidi w:val="0"/>
        <w:rPr>
          <w:rFonts w:hint="default"/>
          <w:lang w:val="en-US" w:eastAsia="zh-CN"/>
        </w:rPr>
      </w:pPr>
      <w:bookmarkStart w:id="95" w:name="_Toc3191"/>
      <w:r>
        <w:rPr>
          <w:rFonts w:hint="default"/>
          <w:lang w:val="en-US" w:eastAsia="zh-CN"/>
        </w:rPr>
        <w:t>F2.2 危险度分析法</w:t>
      </w:r>
      <w:bookmarkEnd w:id="95"/>
    </w:p>
    <w:p w14:paraId="35C96224">
      <w:pPr>
        <w:rPr>
          <w:rFonts w:hint="default"/>
          <w:lang w:val="en-US" w:eastAsia="zh-CN"/>
        </w:rPr>
      </w:pPr>
      <w:r>
        <w:rPr>
          <w:rFonts w:hint="default"/>
          <w:lang w:val="en-US" w:eastAsia="zh-CN"/>
        </w:rPr>
        <w:t>危险度评价法是根据日本劳动</w:t>
      </w:r>
      <w:r>
        <w:rPr>
          <w:rFonts w:hint="eastAsia" w:ascii="宋体" w:hAnsi="宋体" w:eastAsia="宋体" w:cs="宋体"/>
          <w:lang w:val="en-US" w:eastAsia="zh-CN"/>
        </w:rPr>
        <w:t>省“六阶段法”的</w:t>
      </w:r>
      <w:r>
        <w:rPr>
          <w:rFonts w:hint="default"/>
          <w:lang w:val="en-US" w:eastAsia="zh-CN"/>
        </w:rPr>
        <w:t>定量评价表，结合我国有关标准、规程，编制了</w:t>
      </w:r>
      <w:r>
        <w:rPr>
          <w:rFonts w:hint="eastAsia" w:ascii="宋体" w:hAnsi="宋体" w:eastAsia="宋体" w:cs="宋体"/>
          <w:lang w:val="en-US" w:eastAsia="zh-CN"/>
        </w:rPr>
        <w:t>“危险度评价取值表”</w:t>
      </w:r>
      <w:r>
        <w:rPr>
          <w:rFonts w:hint="default"/>
          <w:lang w:val="en-US" w:eastAsia="zh-CN"/>
        </w:rPr>
        <w:t>。规定单元危险度由物质、容量、温度、压力和操作5个项目共同确定。其危险性分别按A=10分，B=5分，C=2分，D=0分赋值计分，由累计分值确定单元危险度。危险度评价取值表见表F2.2-1。</w:t>
      </w:r>
    </w:p>
    <w:p w14:paraId="45B6EE16">
      <w:pPr>
        <w:ind w:left="0" w:leftChars="0" w:firstLine="0" w:firstLineChars="0"/>
        <w:jc w:val="center"/>
        <w:rPr>
          <w:rFonts w:hint="default"/>
          <w:lang w:val="en-US" w:eastAsia="zh-CN"/>
        </w:rPr>
      </w:pPr>
      <w:r>
        <w:rPr>
          <w:rFonts w:hint="default"/>
          <w:lang w:val="en-US" w:eastAsia="zh-CN"/>
        </w:rPr>
        <w:t>表F2.2-1 危险度评价取值表</w:t>
      </w:r>
    </w:p>
    <w:tbl>
      <w:tblPr>
        <w:tblStyle w:val="20"/>
        <w:tblW w:w="87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9"/>
        <w:gridCol w:w="1869"/>
        <w:gridCol w:w="2169"/>
        <w:gridCol w:w="2175"/>
        <w:gridCol w:w="1445"/>
      </w:tblGrid>
      <w:tr w14:paraId="26501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jc w:val="center"/>
        </w:trPr>
        <w:tc>
          <w:tcPr>
            <w:tcW w:w="1119" w:type="dxa"/>
            <w:noWrap w:val="0"/>
            <w:vAlign w:val="top"/>
            <mc:AlternateContent>
              <mc:Choice Requires="wpsCustomData">
                <wpsCustomData:diagonals>
                  <wpsCustomData:diagonal from="10000" to="30000">
                    <wpsCustomData:border w:val="single" w:color="auto" w:sz="4" w:space="0"/>
                  </wpsCustomData:diagonal>
                </wpsCustomData:diagonals>
              </mc:Choice>
            </mc:AlternateContent>
          </w:tcPr>
          <w:p w14:paraId="4557B95B">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color w:val="auto"/>
                <w:sz w:val="21"/>
                <w:szCs w:val="21"/>
              </w:rPr>
            </w:pPr>
          </w:p>
          <w:p w14:paraId="2EFF63D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eastAsia"/>
                <w:color w:val="auto"/>
                <w:sz w:val="21"/>
                <w:szCs w:val="21"/>
                <w:lang w:val="en-US" w:eastAsia="zh-CN"/>
              </w:rPr>
            </w:pPr>
          </w:p>
          <w:p w14:paraId="2886D30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mc:AlternateContent>
                <mc:Choice Requires="wpsCustomData">
                  <wpsCustomData:diagonalParaType/>
                </mc:Choice>
              </mc:AlternateContent>
              <w:rPr>
                <w:rFonts w:hint="eastAsia" w:eastAsia="宋体"/>
                <w:color w:val="auto"/>
                <w:sz w:val="21"/>
                <w:szCs w:val="21"/>
                <w:lang w:val="en-US" w:eastAsia="zh-CN"/>
              </w:rPr>
            </w:pPr>
            <w:r>
              <w:rPr>
                <w:rFonts w:hint="eastAsia"/>
                <w:color w:val="auto"/>
                <w:sz w:val="21"/>
                <w:szCs w:val="21"/>
                <w:lang w:val="en-US" w:eastAsia="zh-CN"/>
              </w:rPr>
              <w:t>项目</w:t>
            </w:r>
          </w:p>
          <w:p w14:paraId="67EC4FC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color w:val="auto"/>
                <w:sz w:val="21"/>
                <w:szCs w:val="21"/>
                <w:lang w:val="en-US" w:eastAsia="zh-CN"/>
              </w:rPr>
            </w:pPr>
            <w:r>
              <w:rPr>
                <w:rFonts w:hint="eastAsia"/>
                <w:color w:val="auto"/>
                <w:sz w:val="21"/>
                <w:szCs w:val="21"/>
                <w:lang w:val="en-US" w:eastAsia="zh-CN"/>
              </w:rPr>
              <w:t>分值</w:t>
            </w:r>
          </w:p>
        </w:tc>
        <w:tc>
          <w:tcPr>
            <w:tcW w:w="1869" w:type="dxa"/>
            <w:noWrap w:val="0"/>
            <w:vAlign w:val="center"/>
          </w:tcPr>
          <w:p w14:paraId="13D2932D">
            <w:pPr>
              <w:spacing w:line="240" w:lineRule="atLeast"/>
              <w:ind w:firstLine="0" w:firstLineChars="0"/>
              <w:jc w:val="center"/>
              <w:rPr>
                <w:color w:val="auto"/>
                <w:sz w:val="21"/>
                <w:szCs w:val="21"/>
              </w:rPr>
            </w:pPr>
            <w:r>
              <w:rPr>
                <w:color w:val="auto"/>
                <w:sz w:val="21"/>
                <w:szCs w:val="21"/>
              </w:rPr>
              <w:t>A（10分）</w:t>
            </w:r>
          </w:p>
        </w:tc>
        <w:tc>
          <w:tcPr>
            <w:tcW w:w="2169" w:type="dxa"/>
            <w:noWrap w:val="0"/>
            <w:vAlign w:val="center"/>
          </w:tcPr>
          <w:p w14:paraId="455B2322">
            <w:pPr>
              <w:spacing w:line="240" w:lineRule="atLeast"/>
              <w:ind w:firstLine="0" w:firstLineChars="0"/>
              <w:jc w:val="center"/>
              <w:rPr>
                <w:color w:val="auto"/>
                <w:sz w:val="21"/>
                <w:szCs w:val="21"/>
              </w:rPr>
            </w:pPr>
            <w:r>
              <w:rPr>
                <w:color w:val="auto"/>
                <w:sz w:val="21"/>
                <w:szCs w:val="21"/>
              </w:rPr>
              <w:t>B（5分）</w:t>
            </w:r>
          </w:p>
        </w:tc>
        <w:tc>
          <w:tcPr>
            <w:tcW w:w="2175" w:type="dxa"/>
            <w:noWrap w:val="0"/>
            <w:vAlign w:val="center"/>
          </w:tcPr>
          <w:p w14:paraId="76102520">
            <w:pPr>
              <w:spacing w:line="240" w:lineRule="atLeast"/>
              <w:ind w:firstLine="0" w:firstLineChars="0"/>
              <w:jc w:val="center"/>
              <w:rPr>
                <w:color w:val="auto"/>
                <w:sz w:val="21"/>
                <w:szCs w:val="21"/>
              </w:rPr>
            </w:pPr>
            <w:r>
              <w:rPr>
                <w:color w:val="auto"/>
                <w:sz w:val="21"/>
                <w:szCs w:val="21"/>
              </w:rPr>
              <w:t>C（2分）</w:t>
            </w:r>
          </w:p>
        </w:tc>
        <w:tc>
          <w:tcPr>
            <w:tcW w:w="1445" w:type="dxa"/>
            <w:noWrap w:val="0"/>
            <w:vAlign w:val="center"/>
          </w:tcPr>
          <w:p w14:paraId="770F668B">
            <w:pPr>
              <w:spacing w:line="240" w:lineRule="atLeast"/>
              <w:ind w:firstLine="0" w:firstLineChars="0"/>
              <w:jc w:val="center"/>
              <w:rPr>
                <w:color w:val="auto"/>
                <w:sz w:val="21"/>
                <w:szCs w:val="21"/>
              </w:rPr>
            </w:pPr>
            <w:r>
              <w:rPr>
                <w:color w:val="auto"/>
                <w:sz w:val="21"/>
                <w:szCs w:val="21"/>
              </w:rPr>
              <w:t>D（0分）</w:t>
            </w:r>
          </w:p>
        </w:tc>
      </w:tr>
      <w:tr w14:paraId="431B7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2" w:hRule="atLeast"/>
          <w:jc w:val="center"/>
        </w:trPr>
        <w:tc>
          <w:tcPr>
            <w:tcW w:w="1119" w:type="dxa"/>
            <w:noWrap w:val="0"/>
            <w:vAlign w:val="center"/>
          </w:tcPr>
          <w:p w14:paraId="507F88E6">
            <w:pPr>
              <w:spacing w:line="240" w:lineRule="atLeast"/>
              <w:ind w:firstLine="0" w:firstLineChars="0"/>
              <w:jc w:val="center"/>
              <w:rPr>
                <w:color w:val="auto"/>
                <w:sz w:val="21"/>
                <w:szCs w:val="21"/>
              </w:rPr>
            </w:pPr>
            <w:r>
              <w:rPr>
                <w:color w:val="auto"/>
                <w:sz w:val="21"/>
                <w:szCs w:val="21"/>
              </w:rPr>
              <w:t>物质</w:t>
            </w:r>
          </w:p>
        </w:tc>
        <w:tc>
          <w:tcPr>
            <w:tcW w:w="1869" w:type="dxa"/>
            <w:noWrap w:val="0"/>
            <w:vAlign w:val="center"/>
          </w:tcPr>
          <w:p w14:paraId="607EE963">
            <w:pPr>
              <w:spacing w:line="240" w:lineRule="atLeast"/>
              <w:ind w:firstLine="0" w:firstLineChars="0"/>
              <w:rPr>
                <w:color w:val="auto"/>
                <w:sz w:val="21"/>
                <w:szCs w:val="21"/>
              </w:rPr>
            </w:pPr>
            <w:r>
              <w:rPr>
                <w:color w:val="auto"/>
                <w:sz w:val="21"/>
                <w:szCs w:val="21"/>
              </w:rPr>
              <w:t>甲类可燃气体；</w:t>
            </w:r>
          </w:p>
          <w:p w14:paraId="6D1C0234">
            <w:pPr>
              <w:spacing w:line="240" w:lineRule="atLeast"/>
              <w:ind w:firstLine="0" w:firstLineChars="0"/>
              <w:rPr>
                <w:color w:val="auto"/>
                <w:sz w:val="21"/>
                <w:szCs w:val="21"/>
              </w:rPr>
            </w:pPr>
            <w:r>
              <w:rPr>
                <w:color w:val="auto"/>
                <w:sz w:val="21"/>
                <w:szCs w:val="21"/>
              </w:rPr>
              <w:t>甲</w:t>
            </w:r>
            <w:r>
              <w:rPr>
                <w:color w:val="auto"/>
                <w:sz w:val="21"/>
                <w:szCs w:val="21"/>
                <w:vertAlign w:val="subscript"/>
              </w:rPr>
              <w:t>A</w:t>
            </w:r>
            <w:r>
              <w:rPr>
                <w:color w:val="auto"/>
                <w:sz w:val="21"/>
                <w:szCs w:val="21"/>
              </w:rPr>
              <w:t>类物质及液态烃类；</w:t>
            </w:r>
          </w:p>
          <w:p w14:paraId="1E2D3F9B">
            <w:pPr>
              <w:spacing w:line="240" w:lineRule="atLeast"/>
              <w:ind w:firstLine="0" w:firstLineChars="0"/>
              <w:rPr>
                <w:color w:val="auto"/>
                <w:sz w:val="21"/>
                <w:szCs w:val="21"/>
              </w:rPr>
            </w:pPr>
            <w:r>
              <w:rPr>
                <w:color w:val="auto"/>
                <w:sz w:val="21"/>
                <w:szCs w:val="21"/>
              </w:rPr>
              <w:t>甲类固体；</w:t>
            </w:r>
          </w:p>
          <w:p w14:paraId="218004DC">
            <w:pPr>
              <w:spacing w:line="240" w:lineRule="atLeast"/>
              <w:ind w:firstLine="0" w:firstLineChars="0"/>
              <w:rPr>
                <w:color w:val="auto"/>
                <w:sz w:val="21"/>
                <w:szCs w:val="21"/>
              </w:rPr>
            </w:pPr>
            <w:r>
              <w:rPr>
                <w:color w:val="auto"/>
                <w:sz w:val="21"/>
                <w:szCs w:val="21"/>
              </w:rPr>
              <w:t>极度危害介质</w:t>
            </w:r>
          </w:p>
        </w:tc>
        <w:tc>
          <w:tcPr>
            <w:tcW w:w="2169" w:type="dxa"/>
            <w:noWrap w:val="0"/>
            <w:vAlign w:val="center"/>
          </w:tcPr>
          <w:p w14:paraId="3977188E">
            <w:pPr>
              <w:spacing w:line="240" w:lineRule="atLeast"/>
              <w:ind w:firstLine="0" w:firstLineChars="0"/>
              <w:rPr>
                <w:color w:val="auto"/>
                <w:sz w:val="21"/>
                <w:szCs w:val="21"/>
              </w:rPr>
            </w:pPr>
            <w:r>
              <w:rPr>
                <w:color w:val="auto"/>
                <w:sz w:val="21"/>
                <w:szCs w:val="21"/>
              </w:rPr>
              <w:t>乙类气体；</w:t>
            </w:r>
          </w:p>
          <w:p w14:paraId="1E4469F2">
            <w:pPr>
              <w:spacing w:line="240" w:lineRule="atLeast"/>
              <w:ind w:firstLine="0" w:firstLineChars="0"/>
              <w:rPr>
                <w:color w:val="auto"/>
                <w:sz w:val="21"/>
                <w:szCs w:val="21"/>
              </w:rPr>
            </w:pPr>
            <w:r>
              <w:rPr>
                <w:color w:val="auto"/>
                <w:sz w:val="21"/>
                <w:szCs w:val="21"/>
              </w:rPr>
              <w:t>甲</w:t>
            </w:r>
            <w:r>
              <w:rPr>
                <w:color w:val="auto"/>
                <w:sz w:val="21"/>
                <w:szCs w:val="21"/>
                <w:vertAlign w:val="subscript"/>
              </w:rPr>
              <w:t>B</w:t>
            </w:r>
            <w:r>
              <w:rPr>
                <w:color w:val="auto"/>
                <w:sz w:val="21"/>
                <w:szCs w:val="21"/>
              </w:rPr>
              <w:t>、乙</w:t>
            </w:r>
            <w:r>
              <w:rPr>
                <w:color w:val="auto"/>
                <w:sz w:val="21"/>
                <w:szCs w:val="21"/>
                <w:vertAlign w:val="subscript"/>
              </w:rPr>
              <w:t>A</w:t>
            </w:r>
            <w:r>
              <w:rPr>
                <w:color w:val="auto"/>
                <w:sz w:val="21"/>
                <w:szCs w:val="21"/>
              </w:rPr>
              <w:t>类可燃液体；</w:t>
            </w:r>
          </w:p>
          <w:p w14:paraId="2169987F">
            <w:pPr>
              <w:spacing w:line="240" w:lineRule="atLeast"/>
              <w:ind w:firstLine="0" w:firstLineChars="0"/>
              <w:rPr>
                <w:color w:val="auto"/>
                <w:sz w:val="21"/>
                <w:szCs w:val="21"/>
              </w:rPr>
            </w:pPr>
            <w:r>
              <w:rPr>
                <w:color w:val="auto"/>
                <w:sz w:val="21"/>
                <w:szCs w:val="21"/>
              </w:rPr>
              <w:t>乙类固体</w:t>
            </w:r>
            <w:r>
              <w:rPr>
                <w:rFonts w:hint="eastAsia"/>
                <w:color w:val="auto"/>
                <w:sz w:val="21"/>
                <w:szCs w:val="21"/>
                <w:lang w:eastAsia="zh-CN"/>
              </w:rPr>
              <w:t>；</w:t>
            </w:r>
          </w:p>
          <w:p w14:paraId="23B3F176">
            <w:pPr>
              <w:spacing w:line="240" w:lineRule="atLeast"/>
              <w:ind w:firstLine="0" w:firstLineChars="0"/>
              <w:rPr>
                <w:color w:val="auto"/>
                <w:sz w:val="21"/>
                <w:szCs w:val="21"/>
              </w:rPr>
            </w:pPr>
            <w:r>
              <w:rPr>
                <w:color w:val="auto"/>
                <w:sz w:val="21"/>
                <w:szCs w:val="21"/>
              </w:rPr>
              <w:t>高度危害介质</w:t>
            </w:r>
          </w:p>
        </w:tc>
        <w:tc>
          <w:tcPr>
            <w:tcW w:w="2175" w:type="dxa"/>
            <w:noWrap w:val="0"/>
            <w:vAlign w:val="center"/>
          </w:tcPr>
          <w:p w14:paraId="45B34191">
            <w:pPr>
              <w:spacing w:line="240" w:lineRule="atLeast"/>
              <w:ind w:firstLine="0" w:firstLineChars="0"/>
              <w:rPr>
                <w:color w:val="auto"/>
                <w:sz w:val="21"/>
                <w:szCs w:val="21"/>
              </w:rPr>
            </w:pPr>
            <w:r>
              <w:rPr>
                <w:color w:val="auto"/>
                <w:sz w:val="21"/>
                <w:szCs w:val="21"/>
              </w:rPr>
              <w:t>乙</w:t>
            </w:r>
            <w:r>
              <w:rPr>
                <w:color w:val="auto"/>
                <w:sz w:val="21"/>
                <w:szCs w:val="21"/>
                <w:vertAlign w:val="subscript"/>
              </w:rPr>
              <w:t>B</w:t>
            </w:r>
            <w:r>
              <w:rPr>
                <w:color w:val="auto"/>
                <w:sz w:val="21"/>
                <w:szCs w:val="21"/>
              </w:rPr>
              <w:t>、丙</w:t>
            </w:r>
            <w:r>
              <w:rPr>
                <w:color w:val="auto"/>
                <w:sz w:val="21"/>
                <w:szCs w:val="21"/>
                <w:vertAlign w:val="subscript"/>
              </w:rPr>
              <w:t>A</w:t>
            </w:r>
            <w:r>
              <w:rPr>
                <w:color w:val="auto"/>
                <w:sz w:val="21"/>
                <w:szCs w:val="21"/>
              </w:rPr>
              <w:t>、丙</w:t>
            </w:r>
            <w:r>
              <w:rPr>
                <w:color w:val="auto"/>
                <w:sz w:val="21"/>
                <w:szCs w:val="21"/>
                <w:vertAlign w:val="subscript"/>
              </w:rPr>
              <w:t>B</w:t>
            </w:r>
            <w:r>
              <w:rPr>
                <w:color w:val="auto"/>
                <w:sz w:val="21"/>
                <w:szCs w:val="21"/>
              </w:rPr>
              <w:t>类可燃液体；</w:t>
            </w:r>
          </w:p>
          <w:p w14:paraId="1B1CF303">
            <w:pPr>
              <w:spacing w:line="240" w:lineRule="atLeast"/>
              <w:ind w:firstLine="0" w:firstLineChars="0"/>
              <w:rPr>
                <w:color w:val="auto"/>
                <w:sz w:val="21"/>
                <w:szCs w:val="21"/>
              </w:rPr>
            </w:pPr>
            <w:r>
              <w:rPr>
                <w:color w:val="auto"/>
                <w:sz w:val="21"/>
                <w:szCs w:val="21"/>
              </w:rPr>
              <w:t>丙类固体；</w:t>
            </w:r>
          </w:p>
          <w:p w14:paraId="137A10A2">
            <w:pPr>
              <w:spacing w:line="240" w:lineRule="atLeast"/>
              <w:ind w:firstLine="0" w:firstLineChars="0"/>
              <w:rPr>
                <w:color w:val="auto"/>
                <w:sz w:val="21"/>
                <w:szCs w:val="21"/>
              </w:rPr>
            </w:pPr>
            <w:r>
              <w:rPr>
                <w:color w:val="auto"/>
                <w:sz w:val="21"/>
                <w:szCs w:val="21"/>
              </w:rPr>
              <w:t>中、轻度危害介质</w:t>
            </w:r>
          </w:p>
        </w:tc>
        <w:tc>
          <w:tcPr>
            <w:tcW w:w="1445" w:type="dxa"/>
            <w:noWrap w:val="0"/>
            <w:vAlign w:val="center"/>
          </w:tcPr>
          <w:p w14:paraId="39D0AB34">
            <w:pPr>
              <w:spacing w:line="240" w:lineRule="atLeast"/>
              <w:ind w:firstLine="0" w:firstLineChars="0"/>
              <w:rPr>
                <w:color w:val="auto"/>
                <w:sz w:val="21"/>
                <w:szCs w:val="21"/>
              </w:rPr>
            </w:pPr>
            <w:r>
              <w:rPr>
                <w:color w:val="auto"/>
                <w:sz w:val="21"/>
                <w:szCs w:val="21"/>
              </w:rPr>
              <w:t>不属A、B、C项之物质</w:t>
            </w:r>
          </w:p>
        </w:tc>
      </w:tr>
      <w:tr w14:paraId="1BE89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jc w:val="center"/>
        </w:trPr>
        <w:tc>
          <w:tcPr>
            <w:tcW w:w="1119" w:type="dxa"/>
            <w:noWrap w:val="0"/>
            <w:vAlign w:val="center"/>
          </w:tcPr>
          <w:p w14:paraId="441DDCD9">
            <w:pPr>
              <w:spacing w:line="240" w:lineRule="atLeast"/>
              <w:ind w:firstLine="0" w:firstLineChars="0"/>
              <w:jc w:val="center"/>
              <w:rPr>
                <w:color w:val="auto"/>
                <w:sz w:val="21"/>
                <w:szCs w:val="21"/>
              </w:rPr>
            </w:pPr>
            <w:r>
              <w:rPr>
                <w:color w:val="auto"/>
                <w:sz w:val="21"/>
                <w:szCs w:val="21"/>
              </w:rPr>
              <w:t>容量</w:t>
            </w:r>
          </w:p>
        </w:tc>
        <w:tc>
          <w:tcPr>
            <w:tcW w:w="1869" w:type="dxa"/>
            <w:noWrap w:val="0"/>
            <w:vAlign w:val="center"/>
          </w:tcPr>
          <w:p w14:paraId="632837F1">
            <w:pPr>
              <w:spacing w:line="240" w:lineRule="atLeast"/>
              <w:ind w:firstLine="0" w:firstLineChars="0"/>
              <w:rPr>
                <w:color w:val="auto"/>
                <w:sz w:val="21"/>
                <w:szCs w:val="21"/>
              </w:rPr>
            </w:pPr>
            <w:r>
              <w:rPr>
                <w:color w:val="auto"/>
                <w:sz w:val="21"/>
                <w:szCs w:val="21"/>
              </w:rPr>
              <w:t>气体1000m³以上</w:t>
            </w:r>
          </w:p>
          <w:p w14:paraId="2AE6D5A8">
            <w:pPr>
              <w:spacing w:line="240" w:lineRule="atLeast"/>
              <w:ind w:firstLine="0" w:firstLineChars="0"/>
              <w:rPr>
                <w:color w:val="auto"/>
                <w:sz w:val="21"/>
                <w:szCs w:val="21"/>
              </w:rPr>
            </w:pPr>
            <w:r>
              <w:rPr>
                <w:color w:val="auto"/>
                <w:sz w:val="21"/>
                <w:szCs w:val="21"/>
              </w:rPr>
              <w:t>液体100m³以上</w:t>
            </w:r>
          </w:p>
        </w:tc>
        <w:tc>
          <w:tcPr>
            <w:tcW w:w="2169" w:type="dxa"/>
            <w:noWrap w:val="0"/>
            <w:vAlign w:val="center"/>
          </w:tcPr>
          <w:p w14:paraId="5DAC736E">
            <w:pPr>
              <w:spacing w:line="240" w:lineRule="atLeast"/>
              <w:ind w:firstLine="0" w:firstLineChars="0"/>
              <w:rPr>
                <w:color w:val="auto"/>
                <w:sz w:val="21"/>
                <w:szCs w:val="21"/>
              </w:rPr>
            </w:pPr>
            <w:r>
              <w:rPr>
                <w:color w:val="auto"/>
                <w:sz w:val="21"/>
                <w:szCs w:val="21"/>
              </w:rPr>
              <w:t>气体500~1000m³</w:t>
            </w:r>
          </w:p>
          <w:p w14:paraId="374A41B6">
            <w:pPr>
              <w:spacing w:line="240" w:lineRule="atLeast"/>
              <w:ind w:firstLine="0" w:firstLineChars="0"/>
              <w:rPr>
                <w:color w:val="auto"/>
                <w:sz w:val="21"/>
                <w:szCs w:val="21"/>
              </w:rPr>
            </w:pPr>
            <w:r>
              <w:rPr>
                <w:color w:val="auto"/>
                <w:sz w:val="21"/>
                <w:szCs w:val="21"/>
              </w:rPr>
              <w:t>液体50~100m³</w:t>
            </w:r>
          </w:p>
        </w:tc>
        <w:tc>
          <w:tcPr>
            <w:tcW w:w="2175" w:type="dxa"/>
            <w:noWrap w:val="0"/>
            <w:vAlign w:val="center"/>
          </w:tcPr>
          <w:p w14:paraId="05C2354F">
            <w:pPr>
              <w:spacing w:line="240" w:lineRule="atLeast"/>
              <w:ind w:firstLine="0" w:firstLineChars="0"/>
              <w:rPr>
                <w:color w:val="auto"/>
                <w:sz w:val="21"/>
                <w:szCs w:val="21"/>
              </w:rPr>
            </w:pPr>
            <w:r>
              <w:rPr>
                <w:color w:val="auto"/>
                <w:sz w:val="21"/>
                <w:szCs w:val="21"/>
              </w:rPr>
              <w:t>气体100~500m³</w:t>
            </w:r>
          </w:p>
          <w:p w14:paraId="3DD0B64E">
            <w:pPr>
              <w:spacing w:line="240" w:lineRule="atLeast"/>
              <w:ind w:firstLine="0" w:firstLineChars="0"/>
              <w:rPr>
                <w:color w:val="auto"/>
                <w:sz w:val="21"/>
                <w:szCs w:val="21"/>
              </w:rPr>
            </w:pPr>
            <w:r>
              <w:rPr>
                <w:color w:val="auto"/>
                <w:sz w:val="21"/>
                <w:szCs w:val="21"/>
              </w:rPr>
              <w:t>液体10~50m³</w:t>
            </w:r>
          </w:p>
        </w:tc>
        <w:tc>
          <w:tcPr>
            <w:tcW w:w="1445" w:type="dxa"/>
            <w:noWrap w:val="0"/>
            <w:vAlign w:val="center"/>
          </w:tcPr>
          <w:p w14:paraId="42B4F879">
            <w:pPr>
              <w:spacing w:line="240" w:lineRule="atLeast"/>
              <w:ind w:firstLine="0" w:firstLineChars="0"/>
              <w:rPr>
                <w:color w:val="auto"/>
                <w:sz w:val="21"/>
                <w:szCs w:val="21"/>
              </w:rPr>
            </w:pPr>
            <w:r>
              <w:rPr>
                <w:color w:val="auto"/>
                <w:sz w:val="21"/>
                <w:szCs w:val="21"/>
              </w:rPr>
              <w:t>气体＜100m³</w:t>
            </w:r>
          </w:p>
          <w:p w14:paraId="0B816FFA">
            <w:pPr>
              <w:spacing w:line="240" w:lineRule="atLeast"/>
              <w:ind w:firstLine="0" w:firstLineChars="0"/>
              <w:rPr>
                <w:color w:val="auto"/>
                <w:sz w:val="21"/>
                <w:szCs w:val="21"/>
              </w:rPr>
            </w:pPr>
            <w:r>
              <w:rPr>
                <w:color w:val="auto"/>
                <w:sz w:val="21"/>
                <w:szCs w:val="21"/>
              </w:rPr>
              <w:t>液体＜10m³</w:t>
            </w:r>
          </w:p>
        </w:tc>
      </w:tr>
      <w:tr w14:paraId="21B0B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3" w:hRule="atLeast"/>
          <w:jc w:val="center"/>
        </w:trPr>
        <w:tc>
          <w:tcPr>
            <w:tcW w:w="1119" w:type="dxa"/>
            <w:noWrap w:val="0"/>
            <w:vAlign w:val="center"/>
          </w:tcPr>
          <w:p w14:paraId="5266274E">
            <w:pPr>
              <w:spacing w:line="240" w:lineRule="atLeast"/>
              <w:ind w:firstLine="0" w:firstLineChars="0"/>
              <w:jc w:val="center"/>
              <w:rPr>
                <w:color w:val="auto"/>
                <w:sz w:val="21"/>
                <w:szCs w:val="21"/>
              </w:rPr>
            </w:pPr>
            <w:r>
              <w:rPr>
                <w:color w:val="auto"/>
                <w:sz w:val="21"/>
                <w:szCs w:val="21"/>
              </w:rPr>
              <w:t>温度</w:t>
            </w:r>
          </w:p>
        </w:tc>
        <w:tc>
          <w:tcPr>
            <w:tcW w:w="1869" w:type="dxa"/>
            <w:noWrap w:val="0"/>
            <w:vAlign w:val="center"/>
          </w:tcPr>
          <w:p w14:paraId="46BBDA7F">
            <w:pPr>
              <w:spacing w:line="240" w:lineRule="atLeast"/>
              <w:ind w:firstLine="0" w:firstLineChars="0"/>
              <w:rPr>
                <w:color w:val="auto"/>
                <w:sz w:val="21"/>
                <w:szCs w:val="21"/>
              </w:rPr>
            </w:pPr>
            <w:r>
              <w:rPr>
                <w:color w:val="auto"/>
                <w:sz w:val="21"/>
                <w:szCs w:val="21"/>
              </w:rPr>
              <w:t>1000℃以上使用，其操作温度在燃点以上</w:t>
            </w:r>
          </w:p>
        </w:tc>
        <w:tc>
          <w:tcPr>
            <w:tcW w:w="2169" w:type="dxa"/>
            <w:noWrap w:val="0"/>
            <w:vAlign w:val="center"/>
          </w:tcPr>
          <w:p w14:paraId="2B9C8F5F">
            <w:pPr>
              <w:spacing w:line="240" w:lineRule="atLeast"/>
              <w:ind w:firstLine="0" w:firstLineChars="0"/>
              <w:rPr>
                <w:color w:val="auto"/>
                <w:spacing w:val="-8"/>
                <w:sz w:val="21"/>
                <w:szCs w:val="21"/>
              </w:rPr>
            </w:pPr>
            <w:r>
              <w:rPr>
                <w:color w:val="auto"/>
                <w:spacing w:val="-8"/>
                <w:sz w:val="21"/>
                <w:szCs w:val="21"/>
              </w:rPr>
              <w:t>1000℃以上使用，但操作温度在燃点以下；</w:t>
            </w:r>
          </w:p>
          <w:p w14:paraId="4D3F08EC">
            <w:pPr>
              <w:spacing w:line="240" w:lineRule="atLeast"/>
              <w:ind w:firstLine="0" w:firstLineChars="0"/>
              <w:rPr>
                <w:color w:val="auto"/>
                <w:spacing w:val="-8"/>
                <w:sz w:val="21"/>
                <w:szCs w:val="21"/>
              </w:rPr>
            </w:pPr>
            <w:r>
              <w:rPr>
                <w:color w:val="auto"/>
                <w:spacing w:val="-8"/>
                <w:sz w:val="21"/>
                <w:szCs w:val="21"/>
              </w:rPr>
              <w:t>在250~1000℃使用，其操作温度在燃点以上</w:t>
            </w:r>
          </w:p>
        </w:tc>
        <w:tc>
          <w:tcPr>
            <w:tcW w:w="2175" w:type="dxa"/>
            <w:noWrap w:val="0"/>
            <w:vAlign w:val="center"/>
          </w:tcPr>
          <w:p w14:paraId="38C931E1">
            <w:pPr>
              <w:spacing w:line="240" w:lineRule="atLeast"/>
              <w:ind w:firstLine="0" w:firstLineChars="0"/>
              <w:rPr>
                <w:color w:val="auto"/>
                <w:spacing w:val="-8"/>
                <w:sz w:val="21"/>
                <w:szCs w:val="21"/>
              </w:rPr>
            </w:pPr>
            <w:r>
              <w:rPr>
                <w:color w:val="auto"/>
                <w:spacing w:val="-8"/>
                <w:sz w:val="21"/>
                <w:szCs w:val="21"/>
              </w:rPr>
              <w:t>在250~1000℃使用，但操作温度在燃点以下；</w:t>
            </w:r>
          </w:p>
          <w:p w14:paraId="591295B1">
            <w:pPr>
              <w:spacing w:line="240" w:lineRule="atLeast"/>
              <w:ind w:firstLine="0" w:firstLineChars="0"/>
              <w:rPr>
                <w:color w:val="auto"/>
                <w:spacing w:val="-8"/>
                <w:sz w:val="21"/>
                <w:szCs w:val="21"/>
              </w:rPr>
            </w:pPr>
            <w:r>
              <w:rPr>
                <w:color w:val="auto"/>
                <w:spacing w:val="-8"/>
                <w:sz w:val="21"/>
                <w:szCs w:val="21"/>
              </w:rPr>
              <w:t>在低于在250℃使用，其操作温度在燃点以上</w:t>
            </w:r>
          </w:p>
        </w:tc>
        <w:tc>
          <w:tcPr>
            <w:tcW w:w="1445" w:type="dxa"/>
            <w:noWrap w:val="0"/>
            <w:vAlign w:val="center"/>
          </w:tcPr>
          <w:p w14:paraId="77870159">
            <w:pPr>
              <w:spacing w:line="240" w:lineRule="atLeast"/>
              <w:ind w:firstLine="0" w:firstLineChars="0"/>
              <w:rPr>
                <w:color w:val="auto"/>
                <w:sz w:val="21"/>
                <w:szCs w:val="21"/>
              </w:rPr>
            </w:pPr>
            <w:r>
              <w:rPr>
                <w:color w:val="auto"/>
                <w:sz w:val="21"/>
                <w:szCs w:val="21"/>
              </w:rPr>
              <w:t>在低于在250℃使用，其操作温度在燃点以下</w:t>
            </w:r>
          </w:p>
        </w:tc>
      </w:tr>
      <w:tr w14:paraId="3C86A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1119" w:type="dxa"/>
            <w:noWrap w:val="0"/>
            <w:vAlign w:val="center"/>
          </w:tcPr>
          <w:p w14:paraId="29DBE035">
            <w:pPr>
              <w:spacing w:line="240" w:lineRule="atLeast"/>
              <w:ind w:firstLine="0" w:firstLineChars="0"/>
              <w:jc w:val="center"/>
              <w:rPr>
                <w:color w:val="auto"/>
                <w:sz w:val="21"/>
                <w:szCs w:val="21"/>
              </w:rPr>
            </w:pPr>
            <w:r>
              <w:rPr>
                <w:color w:val="auto"/>
                <w:sz w:val="21"/>
                <w:szCs w:val="21"/>
              </w:rPr>
              <w:t>压力</w:t>
            </w:r>
          </w:p>
        </w:tc>
        <w:tc>
          <w:tcPr>
            <w:tcW w:w="1869" w:type="dxa"/>
            <w:noWrap w:val="0"/>
            <w:vAlign w:val="center"/>
          </w:tcPr>
          <w:p w14:paraId="53738C45">
            <w:pPr>
              <w:spacing w:line="240" w:lineRule="atLeast"/>
              <w:ind w:firstLine="0" w:firstLineChars="0"/>
              <w:jc w:val="center"/>
              <w:rPr>
                <w:color w:val="auto"/>
                <w:sz w:val="21"/>
                <w:szCs w:val="21"/>
              </w:rPr>
            </w:pPr>
            <w:r>
              <w:rPr>
                <w:color w:val="auto"/>
                <w:sz w:val="21"/>
                <w:szCs w:val="21"/>
              </w:rPr>
              <w:t>100MPa</w:t>
            </w:r>
          </w:p>
        </w:tc>
        <w:tc>
          <w:tcPr>
            <w:tcW w:w="2169" w:type="dxa"/>
            <w:noWrap w:val="0"/>
            <w:vAlign w:val="center"/>
          </w:tcPr>
          <w:p w14:paraId="77748357">
            <w:pPr>
              <w:spacing w:line="240" w:lineRule="atLeast"/>
              <w:ind w:firstLine="0" w:firstLineChars="0"/>
              <w:jc w:val="center"/>
              <w:rPr>
                <w:color w:val="auto"/>
                <w:sz w:val="21"/>
                <w:szCs w:val="21"/>
              </w:rPr>
            </w:pPr>
            <w:r>
              <w:rPr>
                <w:color w:val="auto"/>
                <w:sz w:val="21"/>
                <w:szCs w:val="21"/>
              </w:rPr>
              <w:t>20~100MPa</w:t>
            </w:r>
          </w:p>
        </w:tc>
        <w:tc>
          <w:tcPr>
            <w:tcW w:w="2175" w:type="dxa"/>
            <w:noWrap w:val="0"/>
            <w:vAlign w:val="center"/>
          </w:tcPr>
          <w:p w14:paraId="7274E6A1">
            <w:pPr>
              <w:spacing w:line="240" w:lineRule="atLeast"/>
              <w:ind w:firstLine="0" w:firstLineChars="0"/>
              <w:jc w:val="center"/>
              <w:rPr>
                <w:color w:val="auto"/>
                <w:sz w:val="21"/>
                <w:szCs w:val="21"/>
              </w:rPr>
            </w:pPr>
            <w:r>
              <w:rPr>
                <w:color w:val="auto"/>
                <w:sz w:val="21"/>
                <w:szCs w:val="21"/>
              </w:rPr>
              <w:t>1~20MPa</w:t>
            </w:r>
          </w:p>
        </w:tc>
        <w:tc>
          <w:tcPr>
            <w:tcW w:w="1445" w:type="dxa"/>
            <w:noWrap w:val="0"/>
            <w:vAlign w:val="center"/>
          </w:tcPr>
          <w:p w14:paraId="47CC5C19">
            <w:pPr>
              <w:spacing w:line="240" w:lineRule="atLeast"/>
              <w:ind w:firstLine="0" w:firstLineChars="0"/>
              <w:jc w:val="center"/>
              <w:rPr>
                <w:color w:val="auto"/>
                <w:sz w:val="21"/>
                <w:szCs w:val="21"/>
              </w:rPr>
            </w:pPr>
            <w:r>
              <w:rPr>
                <w:color w:val="auto"/>
                <w:sz w:val="21"/>
                <w:szCs w:val="21"/>
              </w:rPr>
              <w:t>1Mpa以下</w:t>
            </w:r>
          </w:p>
        </w:tc>
      </w:tr>
      <w:tr w14:paraId="4B0CD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0" w:hRule="atLeast"/>
          <w:jc w:val="center"/>
        </w:trPr>
        <w:tc>
          <w:tcPr>
            <w:tcW w:w="1119" w:type="dxa"/>
            <w:noWrap w:val="0"/>
            <w:vAlign w:val="center"/>
          </w:tcPr>
          <w:p w14:paraId="1C2E4AA6">
            <w:pPr>
              <w:spacing w:line="240" w:lineRule="atLeast"/>
              <w:ind w:firstLine="0" w:firstLineChars="0"/>
              <w:jc w:val="center"/>
              <w:rPr>
                <w:color w:val="auto"/>
                <w:sz w:val="21"/>
                <w:szCs w:val="21"/>
              </w:rPr>
            </w:pPr>
            <w:r>
              <w:rPr>
                <w:color w:val="auto"/>
                <w:sz w:val="21"/>
                <w:szCs w:val="21"/>
              </w:rPr>
              <w:t>操作</w:t>
            </w:r>
          </w:p>
        </w:tc>
        <w:tc>
          <w:tcPr>
            <w:tcW w:w="1869" w:type="dxa"/>
            <w:noWrap w:val="0"/>
            <w:vAlign w:val="center"/>
          </w:tcPr>
          <w:p w14:paraId="49FDD4E4">
            <w:pPr>
              <w:spacing w:line="240" w:lineRule="atLeast"/>
              <w:ind w:firstLine="0" w:firstLineChars="0"/>
              <w:rPr>
                <w:rFonts w:hint="eastAsia" w:eastAsia="宋体"/>
                <w:color w:val="auto"/>
                <w:sz w:val="21"/>
                <w:szCs w:val="21"/>
                <w:lang w:eastAsia="zh-CN"/>
              </w:rPr>
            </w:pPr>
            <w:r>
              <w:rPr>
                <w:color w:val="auto"/>
                <w:sz w:val="21"/>
                <w:szCs w:val="21"/>
              </w:rPr>
              <w:t>临界放热和特别剧烈的反应操作</w:t>
            </w:r>
            <w:r>
              <w:rPr>
                <w:rFonts w:hint="eastAsia"/>
                <w:color w:val="auto"/>
                <w:sz w:val="21"/>
                <w:szCs w:val="21"/>
                <w:lang w:eastAsia="zh-CN"/>
              </w:rPr>
              <w:t>；</w:t>
            </w:r>
          </w:p>
          <w:p w14:paraId="57C041EB">
            <w:pPr>
              <w:spacing w:line="240" w:lineRule="atLeast"/>
              <w:ind w:firstLine="0" w:firstLineChars="0"/>
              <w:rPr>
                <w:color w:val="auto"/>
                <w:sz w:val="21"/>
                <w:szCs w:val="21"/>
              </w:rPr>
            </w:pPr>
            <w:r>
              <w:rPr>
                <w:color w:val="auto"/>
                <w:sz w:val="21"/>
                <w:szCs w:val="21"/>
              </w:rPr>
              <w:t>在爆炸极限范围内或其附近操作</w:t>
            </w:r>
          </w:p>
        </w:tc>
        <w:tc>
          <w:tcPr>
            <w:tcW w:w="2169" w:type="dxa"/>
            <w:noWrap w:val="0"/>
            <w:vAlign w:val="center"/>
          </w:tcPr>
          <w:p w14:paraId="1C13131D">
            <w:pPr>
              <w:spacing w:line="240" w:lineRule="atLeast"/>
              <w:ind w:firstLine="0" w:firstLineChars="0"/>
              <w:rPr>
                <w:color w:val="auto"/>
                <w:sz w:val="21"/>
                <w:szCs w:val="21"/>
              </w:rPr>
            </w:pPr>
            <w:r>
              <w:rPr>
                <w:color w:val="auto"/>
                <w:sz w:val="21"/>
                <w:szCs w:val="21"/>
              </w:rPr>
              <w:t>中等放热反应；</w:t>
            </w:r>
          </w:p>
          <w:p w14:paraId="21E3499E">
            <w:pPr>
              <w:spacing w:line="240" w:lineRule="atLeast"/>
              <w:ind w:firstLine="0" w:firstLineChars="0"/>
              <w:rPr>
                <w:color w:val="auto"/>
                <w:sz w:val="21"/>
                <w:szCs w:val="21"/>
              </w:rPr>
            </w:pPr>
            <w:r>
              <w:rPr>
                <w:color w:val="auto"/>
                <w:sz w:val="21"/>
                <w:szCs w:val="21"/>
              </w:rPr>
              <w:t>系统进入空气或不纯物质，可能发生危险的操作；</w:t>
            </w:r>
          </w:p>
          <w:p w14:paraId="44F92092">
            <w:pPr>
              <w:spacing w:line="240" w:lineRule="atLeast"/>
              <w:ind w:firstLine="0" w:firstLineChars="0"/>
              <w:rPr>
                <w:rFonts w:hint="eastAsia" w:eastAsia="宋体"/>
                <w:color w:val="auto"/>
                <w:sz w:val="21"/>
                <w:szCs w:val="21"/>
                <w:lang w:eastAsia="zh-CN"/>
              </w:rPr>
            </w:pPr>
            <w:r>
              <w:rPr>
                <w:color w:val="auto"/>
                <w:sz w:val="21"/>
                <w:szCs w:val="21"/>
              </w:rPr>
              <w:t>使用粉状或雾状物质，有可能发生粉尘爆炸的操作</w:t>
            </w:r>
            <w:r>
              <w:rPr>
                <w:rFonts w:hint="eastAsia"/>
                <w:color w:val="auto"/>
                <w:sz w:val="21"/>
                <w:szCs w:val="21"/>
                <w:lang w:eastAsia="zh-CN"/>
              </w:rPr>
              <w:t>；</w:t>
            </w:r>
          </w:p>
          <w:p w14:paraId="390D05C3">
            <w:pPr>
              <w:spacing w:line="240" w:lineRule="atLeast"/>
              <w:ind w:firstLine="0" w:firstLineChars="0"/>
              <w:rPr>
                <w:rFonts w:hint="eastAsia" w:eastAsia="宋体"/>
                <w:color w:val="auto"/>
                <w:sz w:val="21"/>
                <w:szCs w:val="21"/>
                <w:lang w:eastAsia="zh-CN"/>
              </w:rPr>
            </w:pPr>
            <w:r>
              <w:rPr>
                <w:color w:val="auto"/>
                <w:sz w:val="21"/>
                <w:szCs w:val="21"/>
              </w:rPr>
              <w:t>单批式操作</w:t>
            </w:r>
          </w:p>
        </w:tc>
        <w:tc>
          <w:tcPr>
            <w:tcW w:w="2175" w:type="dxa"/>
            <w:noWrap w:val="0"/>
            <w:vAlign w:val="center"/>
          </w:tcPr>
          <w:p w14:paraId="7A0AFC68">
            <w:pPr>
              <w:spacing w:line="240" w:lineRule="atLeast"/>
              <w:ind w:firstLine="0" w:firstLineChars="0"/>
              <w:rPr>
                <w:color w:val="auto"/>
                <w:sz w:val="21"/>
                <w:szCs w:val="21"/>
              </w:rPr>
            </w:pPr>
            <w:r>
              <w:rPr>
                <w:color w:val="auto"/>
                <w:sz w:val="21"/>
                <w:szCs w:val="21"/>
              </w:rPr>
              <w:t>轻微放热反应；</w:t>
            </w:r>
          </w:p>
          <w:p w14:paraId="250C6122">
            <w:pPr>
              <w:spacing w:line="240" w:lineRule="atLeast"/>
              <w:ind w:firstLine="0" w:firstLineChars="0"/>
              <w:rPr>
                <w:color w:val="auto"/>
                <w:sz w:val="21"/>
                <w:szCs w:val="21"/>
              </w:rPr>
            </w:pPr>
            <w:r>
              <w:rPr>
                <w:color w:val="auto"/>
                <w:sz w:val="21"/>
                <w:szCs w:val="21"/>
              </w:rPr>
              <w:t>在精制过程中伴有化学反应；</w:t>
            </w:r>
          </w:p>
          <w:p w14:paraId="09CB30B4">
            <w:pPr>
              <w:spacing w:line="240" w:lineRule="atLeast"/>
              <w:ind w:firstLine="0" w:firstLineChars="0"/>
              <w:rPr>
                <w:color w:val="auto"/>
                <w:sz w:val="21"/>
                <w:szCs w:val="21"/>
              </w:rPr>
            </w:pPr>
            <w:r>
              <w:rPr>
                <w:color w:val="auto"/>
                <w:sz w:val="21"/>
                <w:szCs w:val="21"/>
              </w:rPr>
              <w:t>单批式操作，但开始使用机械进行程序操作；</w:t>
            </w:r>
          </w:p>
          <w:p w14:paraId="7CED2720">
            <w:pPr>
              <w:spacing w:line="240" w:lineRule="atLeast"/>
              <w:ind w:firstLine="0" w:firstLineChars="0"/>
              <w:rPr>
                <w:rFonts w:hint="eastAsia" w:eastAsia="宋体"/>
                <w:color w:val="auto"/>
                <w:sz w:val="21"/>
                <w:szCs w:val="21"/>
                <w:lang w:eastAsia="zh-CN"/>
              </w:rPr>
            </w:pPr>
            <w:r>
              <w:rPr>
                <w:color w:val="auto"/>
                <w:sz w:val="21"/>
                <w:szCs w:val="21"/>
              </w:rPr>
              <w:t>有一定危险的操作</w:t>
            </w:r>
          </w:p>
        </w:tc>
        <w:tc>
          <w:tcPr>
            <w:tcW w:w="1445" w:type="dxa"/>
            <w:noWrap w:val="0"/>
            <w:vAlign w:val="center"/>
          </w:tcPr>
          <w:p w14:paraId="77DC368D">
            <w:pPr>
              <w:spacing w:line="240" w:lineRule="atLeast"/>
              <w:ind w:firstLine="0" w:firstLineChars="0"/>
              <w:rPr>
                <w:color w:val="auto"/>
                <w:sz w:val="21"/>
                <w:szCs w:val="21"/>
              </w:rPr>
            </w:pPr>
            <w:r>
              <w:rPr>
                <w:color w:val="auto"/>
                <w:sz w:val="21"/>
                <w:szCs w:val="21"/>
              </w:rPr>
              <w:t>无危险的操作</w:t>
            </w:r>
          </w:p>
        </w:tc>
      </w:tr>
    </w:tbl>
    <w:p w14:paraId="68005102">
      <w:pPr>
        <w:bidi w:val="0"/>
        <w:rPr>
          <w:rFonts w:hint="default"/>
          <w:lang w:val="en-US" w:eastAsia="zh-CN"/>
        </w:rPr>
      </w:pPr>
      <w:r>
        <w:rPr>
          <w:rFonts w:hint="default"/>
          <w:lang w:val="en-US" w:eastAsia="zh-CN"/>
        </w:rPr>
        <w:t>危险度分级见表F2.2-2。</w:t>
      </w:r>
    </w:p>
    <w:p w14:paraId="776DB70C">
      <w:pPr>
        <w:ind w:left="0" w:leftChars="0" w:firstLine="0" w:firstLineChars="0"/>
        <w:jc w:val="center"/>
        <w:rPr>
          <w:rFonts w:hint="default"/>
          <w:lang w:val="en-US" w:eastAsia="zh-CN"/>
        </w:rPr>
      </w:pPr>
      <w:r>
        <w:rPr>
          <w:rFonts w:hint="default"/>
          <w:lang w:val="en-US" w:eastAsia="zh-CN"/>
        </w:rPr>
        <w:t>表F2.2-2 危险度分级表</w:t>
      </w:r>
    </w:p>
    <w:tbl>
      <w:tblPr>
        <w:tblStyle w:val="20"/>
        <w:tblW w:w="9072" w:type="dxa"/>
        <w:tblInd w:w="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2268"/>
        <w:gridCol w:w="2268"/>
        <w:gridCol w:w="2268"/>
      </w:tblGrid>
      <w:tr w14:paraId="1DD900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2268" w:type="dxa"/>
            <w:noWrap w:val="0"/>
            <w:vAlign w:val="center"/>
          </w:tcPr>
          <w:p w14:paraId="7BBF96E2">
            <w:pPr>
              <w:spacing w:line="240" w:lineRule="atLeast"/>
              <w:ind w:firstLine="0" w:firstLineChars="0"/>
              <w:jc w:val="center"/>
              <w:rPr>
                <w:color w:val="auto"/>
                <w:sz w:val="21"/>
                <w:szCs w:val="21"/>
              </w:rPr>
            </w:pPr>
            <w:r>
              <w:rPr>
                <w:color w:val="auto"/>
                <w:sz w:val="21"/>
                <w:szCs w:val="21"/>
              </w:rPr>
              <w:t>总分值</w:t>
            </w:r>
          </w:p>
        </w:tc>
        <w:tc>
          <w:tcPr>
            <w:tcW w:w="2268" w:type="dxa"/>
            <w:noWrap w:val="0"/>
            <w:vAlign w:val="center"/>
          </w:tcPr>
          <w:p w14:paraId="21876EB8">
            <w:pPr>
              <w:spacing w:line="240" w:lineRule="atLeast"/>
              <w:ind w:firstLine="0" w:firstLineChars="0"/>
              <w:jc w:val="center"/>
              <w:rPr>
                <w:color w:val="auto"/>
                <w:sz w:val="21"/>
                <w:szCs w:val="21"/>
              </w:rPr>
            </w:pPr>
            <w:r>
              <w:rPr>
                <w:color w:val="auto"/>
                <w:sz w:val="21"/>
                <w:szCs w:val="21"/>
              </w:rPr>
              <w:t>≥16分</w:t>
            </w:r>
          </w:p>
        </w:tc>
        <w:tc>
          <w:tcPr>
            <w:tcW w:w="2268" w:type="dxa"/>
            <w:noWrap w:val="0"/>
            <w:vAlign w:val="center"/>
          </w:tcPr>
          <w:p w14:paraId="2BEE0C2A">
            <w:pPr>
              <w:spacing w:line="240" w:lineRule="atLeast"/>
              <w:ind w:firstLine="0" w:firstLineChars="0"/>
              <w:jc w:val="center"/>
              <w:rPr>
                <w:color w:val="auto"/>
                <w:sz w:val="21"/>
                <w:szCs w:val="21"/>
              </w:rPr>
            </w:pPr>
            <w:r>
              <w:rPr>
                <w:color w:val="auto"/>
                <w:sz w:val="21"/>
                <w:szCs w:val="21"/>
              </w:rPr>
              <w:t>11~15分</w:t>
            </w:r>
          </w:p>
        </w:tc>
        <w:tc>
          <w:tcPr>
            <w:tcW w:w="2268" w:type="dxa"/>
            <w:noWrap w:val="0"/>
            <w:vAlign w:val="center"/>
          </w:tcPr>
          <w:p w14:paraId="70F9D08C">
            <w:pPr>
              <w:spacing w:line="240" w:lineRule="atLeast"/>
              <w:ind w:firstLine="0" w:firstLineChars="0"/>
              <w:jc w:val="center"/>
              <w:rPr>
                <w:color w:val="auto"/>
                <w:sz w:val="21"/>
                <w:szCs w:val="21"/>
              </w:rPr>
            </w:pPr>
            <w:r>
              <w:rPr>
                <w:color w:val="auto"/>
                <w:sz w:val="21"/>
                <w:szCs w:val="21"/>
              </w:rPr>
              <w:t>≤10分</w:t>
            </w:r>
          </w:p>
        </w:tc>
      </w:tr>
      <w:tr w14:paraId="60B1D0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2268" w:type="dxa"/>
            <w:noWrap w:val="0"/>
            <w:vAlign w:val="center"/>
          </w:tcPr>
          <w:p w14:paraId="7FA0C377">
            <w:pPr>
              <w:spacing w:line="240" w:lineRule="atLeast"/>
              <w:ind w:firstLine="0" w:firstLineChars="0"/>
              <w:jc w:val="center"/>
              <w:rPr>
                <w:color w:val="auto"/>
                <w:sz w:val="21"/>
                <w:szCs w:val="21"/>
              </w:rPr>
            </w:pPr>
            <w:r>
              <w:rPr>
                <w:color w:val="auto"/>
                <w:sz w:val="21"/>
                <w:szCs w:val="21"/>
              </w:rPr>
              <w:t>等级</w:t>
            </w:r>
          </w:p>
        </w:tc>
        <w:tc>
          <w:tcPr>
            <w:tcW w:w="2268" w:type="dxa"/>
            <w:noWrap w:val="0"/>
            <w:vAlign w:val="center"/>
          </w:tcPr>
          <w:p w14:paraId="707D94E4">
            <w:pPr>
              <w:spacing w:line="240" w:lineRule="atLeas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Ⅰ</w:t>
            </w:r>
          </w:p>
        </w:tc>
        <w:tc>
          <w:tcPr>
            <w:tcW w:w="2268" w:type="dxa"/>
            <w:noWrap w:val="0"/>
            <w:vAlign w:val="center"/>
          </w:tcPr>
          <w:p w14:paraId="71EC31A0">
            <w:pPr>
              <w:spacing w:line="240" w:lineRule="atLeas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Ⅱ</w:t>
            </w:r>
          </w:p>
        </w:tc>
        <w:tc>
          <w:tcPr>
            <w:tcW w:w="2268" w:type="dxa"/>
            <w:noWrap w:val="0"/>
            <w:vAlign w:val="center"/>
          </w:tcPr>
          <w:p w14:paraId="227058F7">
            <w:pPr>
              <w:spacing w:line="240" w:lineRule="atLeas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Ⅲ</w:t>
            </w:r>
          </w:p>
        </w:tc>
      </w:tr>
      <w:tr w14:paraId="35B06B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2268" w:type="dxa"/>
            <w:noWrap w:val="0"/>
            <w:vAlign w:val="center"/>
          </w:tcPr>
          <w:p w14:paraId="2D471B19">
            <w:pPr>
              <w:spacing w:line="240" w:lineRule="atLeast"/>
              <w:ind w:firstLine="0" w:firstLineChars="0"/>
              <w:jc w:val="center"/>
              <w:rPr>
                <w:color w:val="auto"/>
                <w:sz w:val="21"/>
                <w:szCs w:val="21"/>
              </w:rPr>
            </w:pPr>
            <w:r>
              <w:rPr>
                <w:color w:val="auto"/>
                <w:sz w:val="21"/>
                <w:szCs w:val="21"/>
              </w:rPr>
              <w:t>危险程度</w:t>
            </w:r>
          </w:p>
        </w:tc>
        <w:tc>
          <w:tcPr>
            <w:tcW w:w="2268" w:type="dxa"/>
            <w:noWrap w:val="0"/>
            <w:vAlign w:val="center"/>
          </w:tcPr>
          <w:p w14:paraId="1864831F">
            <w:pPr>
              <w:spacing w:line="240" w:lineRule="atLeast"/>
              <w:ind w:firstLine="0" w:firstLineChars="0"/>
              <w:jc w:val="center"/>
              <w:rPr>
                <w:color w:val="auto"/>
                <w:sz w:val="21"/>
                <w:szCs w:val="21"/>
              </w:rPr>
            </w:pPr>
            <w:r>
              <w:rPr>
                <w:color w:val="auto"/>
                <w:sz w:val="21"/>
                <w:szCs w:val="21"/>
              </w:rPr>
              <w:t>高度危险</w:t>
            </w:r>
          </w:p>
        </w:tc>
        <w:tc>
          <w:tcPr>
            <w:tcW w:w="2268" w:type="dxa"/>
            <w:noWrap w:val="0"/>
            <w:vAlign w:val="center"/>
          </w:tcPr>
          <w:p w14:paraId="44F7C8A6">
            <w:pPr>
              <w:spacing w:line="240" w:lineRule="atLeast"/>
              <w:ind w:firstLine="0" w:firstLineChars="0"/>
              <w:jc w:val="center"/>
              <w:rPr>
                <w:color w:val="auto"/>
                <w:sz w:val="21"/>
                <w:szCs w:val="21"/>
              </w:rPr>
            </w:pPr>
            <w:r>
              <w:rPr>
                <w:color w:val="auto"/>
                <w:sz w:val="21"/>
                <w:szCs w:val="21"/>
              </w:rPr>
              <w:t>中度危险</w:t>
            </w:r>
          </w:p>
        </w:tc>
        <w:tc>
          <w:tcPr>
            <w:tcW w:w="2268" w:type="dxa"/>
            <w:noWrap w:val="0"/>
            <w:vAlign w:val="center"/>
          </w:tcPr>
          <w:p w14:paraId="2A7A08A0">
            <w:pPr>
              <w:spacing w:line="240" w:lineRule="atLeast"/>
              <w:ind w:firstLine="0" w:firstLineChars="0"/>
              <w:jc w:val="center"/>
              <w:rPr>
                <w:color w:val="auto"/>
                <w:sz w:val="21"/>
                <w:szCs w:val="21"/>
              </w:rPr>
            </w:pPr>
            <w:r>
              <w:rPr>
                <w:color w:val="auto"/>
                <w:sz w:val="21"/>
                <w:szCs w:val="21"/>
              </w:rPr>
              <w:t>低度危险</w:t>
            </w:r>
          </w:p>
        </w:tc>
      </w:tr>
    </w:tbl>
    <w:p w14:paraId="129DAA52">
      <w:pPr>
        <w:ind w:left="0" w:leftChars="0" w:firstLine="0" w:firstLineChars="0"/>
        <w:jc w:val="center"/>
        <w:rPr>
          <w:rFonts w:hint="default"/>
          <w:lang w:val="en-US" w:eastAsia="zh-CN"/>
        </w:rPr>
      </w:pPr>
    </w:p>
    <w:p w14:paraId="0B291EFA">
      <w:pPr>
        <w:rPr>
          <w:rFonts w:hint="default"/>
          <w:lang w:val="en-US" w:eastAsia="zh-CN"/>
        </w:rPr>
      </w:pPr>
      <w:r>
        <w:rPr>
          <w:rFonts w:hint="default"/>
          <w:lang w:val="en-US" w:eastAsia="zh-CN"/>
        </w:rPr>
        <w:br w:type="page"/>
      </w:r>
    </w:p>
    <w:p w14:paraId="7A41F172">
      <w:pPr>
        <w:pStyle w:val="2"/>
        <w:bidi w:val="0"/>
        <w:rPr>
          <w:rFonts w:hint="default"/>
          <w:lang w:val="en-US" w:eastAsia="zh-CN"/>
        </w:rPr>
      </w:pPr>
      <w:bookmarkStart w:id="96" w:name="_Toc16522"/>
      <w:r>
        <w:rPr>
          <w:rFonts w:hint="default"/>
          <w:lang w:val="en-US" w:eastAsia="zh-CN"/>
        </w:rPr>
        <w:t>F3 定性定量评价过程</w:t>
      </w:r>
      <w:bookmarkEnd w:id="96"/>
    </w:p>
    <w:p w14:paraId="3358C59E">
      <w:pPr>
        <w:pStyle w:val="3"/>
        <w:bidi w:val="0"/>
        <w:rPr>
          <w:rFonts w:hint="default"/>
          <w:lang w:val="en-US" w:eastAsia="zh-CN"/>
        </w:rPr>
      </w:pPr>
      <w:bookmarkStart w:id="97" w:name="_Toc32108"/>
      <w:r>
        <w:rPr>
          <w:rFonts w:hint="default"/>
          <w:lang w:val="en-US" w:eastAsia="zh-CN"/>
        </w:rPr>
        <w:t>F3.1 项目选址单元安全检查表</w:t>
      </w:r>
      <w:bookmarkEnd w:id="97"/>
    </w:p>
    <w:p w14:paraId="2D2B86F1">
      <w:pPr>
        <w:rPr>
          <w:rFonts w:hint="default"/>
          <w:lang w:val="en-US" w:eastAsia="zh-CN"/>
        </w:rPr>
      </w:pPr>
      <w:r>
        <w:rPr>
          <w:rFonts w:hint="default"/>
          <w:lang w:val="en-US" w:eastAsia="zh-CN"/>
        </w:rPr>
        <w:t>依据《撬装式汽车加油站技术标准》（SH/T3134-2023）、《汽车加油加气加氢站技术标准》</w:t>
      </w:r>
      <w:r>
        <w:rPr>
          <w:rFonts w:hint="eastAsia"/>
          <w:lang w:val="en-US" w:eastAsia="zh-CN"/>
        </w:rPr>
        <w:t>（</w:t>
      </w:r>
      <w:r>
        <w:rPr>
          <w:rFonts w:hint="default"/>
          <w:lang w:val="en-US" w:eastAsia="zh-CN"/>
        </w:rPr>
        <w:t>GB50156-2021</w:t>
      </w:r>
      <w:r>
        <w:rPr>
          <w:rFonts w:hint="eastAsia"/>
          <w:lang w:val="en-US" w:eastAsia="zh-CN"/>
        </w:rPr>
        <w:t>）</w:t>
      </w:r>
      <w:r>
        <w:rPr>
          <w:rFonts w:hint="default"/>
          <w:lang w:val="en-US" w:eastAsia="zh-CN"/>
        </w:rPr>
        <w:t>等标准规范的要求，结合建设单位提供的资料，评价项目组选址安全检查表分析法对建设项目外部安全条件、选址等内容予以了定性分析评价。</w:t>
      </w:r>
    </w:p>
    <w:p w14:paraId="58A23E64">
      <w:pPr>
        <w:ind w:left="0" w:leftChars="0" w:firstLine="0" w:firstLineChars="0"/>
        <w:jc w:val="center"/>
        <w:rPr>
          <w:rFonts w:hint="default"/>
          <w:lang w:val="en-US" w:eastAsia="zh-CN"/>
        </w:rPr>
      </w:pPr>
      <w:r>
        <w:rPr>
          <w:rFonts w:hint="default"/>
          <w:lang w:val="en-US" w:eastAsia="zh-CN"/>
        </w:rPr>
        <w:t>F3.1-1 项目选址单元安全检查表</w:t>
      </w:r>
    </w:p>
    <w:tbl>
      <w:tblPr>
        <w:tblStyle w:val="20"/>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5"/>
        <w:gridCol w:w="4182"/>
        <w:gridCol w:w="1642"/>
        <w:gridCol w:w="1798"/>
        <w:gridCol w:w="715"/>
      </w:tblGrid>
      <w:tr w14:paraId="234285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33" w:hRule="atLeast"/>
          <w:jc w:val="center"/>
        </w:trPr>
        <w:tc>
          <w:tcPr>
            <w:tcW w:w="735" w:type="dxa"/>
            <w:noWrap w:val="0"/>
            <w:vAlign w:val="center"/>
          </w:tcPr>
          <w:p w14:paraId="488B227B">
            <w:pPr>
              <w:pStyle w:val="50"/>
              <w:bidi w:val="0"/>
              <w:rPr>
                <w:b/>
                <w:bCs/>
                <w:color w:val="auto"/>
              </w:rPr>
            </w:pPr>
            <w:r>
              <w:rPr>
                <w:b/>
                <w:bCs/>
                <w:color w:val="auto"/>
              </w:rPr>
              <w:t>序号</w:t>
            </w:r>
          </w:p>
        </w:tc>
        <w:tc>
          <w:tcPr>
            <w:tcW w:w="4182" w:type="dxa"/>
            <w:noWrap w:val="0"/>
            <w:vAlign w:val="center"/>
          </w:tcPr>
          <w:p w14:paraId="3094D5CC">
            <w:pPr>
              <w:pStyle w:val="50"/>
              <w:bidi w:val="0"/>
              <w:rPr>
                <w:b/>
                <w:bCs/>
                <w:color w:val="auto"/>
              </w:rPr>
            </w:pPr>
            <w:r>
              <w:rPr>
                <w:b/>
                <w:bCs/>
                <w:color w:val="auto"/>
              </w:rPr>
              <w:t>检查内容</w:t>
            </w:r>
          </w:p>
        </w:tc>
        <w:tc>
          <w:tcPr>
            <w:tcW w:w="1642" w:type="dxa"/>
            <w:noWrap w:val="0"/>
            <w:vAlign w:val="center"/>
          </w:tcPr>
          <w:p w14:paraId="360B69B4">
            <w:pPr>
              <w:pStyle w:val="50"/>
              <w:bidi w:val="0"/>
              <w:rPr>
                <w:b/>
                <w:bCs/>
                <w:color w:val="auto"/>
              </w:rPr>
            </w:pPr>
            <w:r>
              <w:rPr>
                <w:b/>
                <w:bCs/>
                <w:color w:val="auto"/>
              </w:rPr>
              <w:t>检查依据</w:t>
            </w:r>
          </w:p>
        </w:tc>
        <w:tc>
          <w:tcPr>
            <w:tcW w:w="1798" w:type="dxa"/>
            <w:noWrap w:val="0"/>
            <w:vAlign w:val="center"/>
          </w:tcPr>
          <w:p w14:paraId="2DC325AD">
            <w:pPr>
              <w:pStyle w:val="50"/>
              <w:bidi w:val="0"/>
              <w:rPr>
                <w:b/>
                <w:bCs/>
                <w:color w:val="auto"/>
              </w:rPr>
            </w:pPr>
            <w:r>
              <w:rPr>
                <w:b/>
                <w:bCs/>
                <w:color w:val="auto"/>
              </w:rPr>
              <w:t>检查</w:t>
            </w:r>
            <w:r>
              <w:rPr>
                <w:rFonts w:hint="eastAsia"/>
                <w:b/>
                <w:bCs/>
                <w:color w:val="auto"/>
              </w:rPr>
              <w:t>记录</w:t>
            </w:r>
          </w:p>
        </w:tc>
        <w:tc>
          <w:tcPr>
            <w:tcW w:w="715" w:type="dxa"/>
            <w:noWrap w:val="0"/>
            <w:vAlign w:val="center"/>
          </w:tcPr>
          <w:p w14:paraId="703E0338">
            <w:pPr>
              <w:pStyle w:val="50"/>
              <w:bidi w:val="0"/>
              <w:rPr>
                <w:b/>
                <w:bCs/>
                <w:color w:val="auto"/>
              </w:rPr>
            </w:pPr>
            <w:r>
              <w:rPr>
                <w:b/>
                <w:bCs/>
                <w:color w:val="auto"/>
              </w:rPr>
              <w:t>检查</w:t>
            </w:r>
          </w:p>
          <w:p w14:paraId="3333C1A5">
            <w:pPr>
              <w:pStyle w:val="50"/>
              <w:bidi w:val="0"/>
              <w:rPr>
                <w:b/>
                <w:bCs/>
                <w:color w:val="auto"/>
              </w:rPr>
            </w:pPr>
            <w:r>
              <w:rPr>
                <w:b/>
                <w:bCs/>
                <w:color w:val="auto"/>
              </w:rPr>
              <w:t>结果</w:t>
            </w:r>
          </w:p>
        </w:tc>
      </w:tr>
      <w:tr w14:paraId="43EB1D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618" w:hRule="atLeast"/>
          <w:jc w:val="center"/>
        </w:trPr>
        <w:tc>
          <w:tcPr>
            <w:tcW w:w="735" w:type="dxa"/>
            <w:noWrap w:val="0"/>
            <w:vAlign w:val="center"/>
          </w:tcPr>
          <w:p w14:paraId="26795C38">
            <w:pPr>
              <w:pStyle w:val="50"/>
              <w:bidi w:val="0"/>
              <w:rPr>
                <w:color w:val="auto"/>
              </w:rPr>
            </w:pPr>
            <w:r>
              <w:rPr>
                <w:rFonts w:hint="eastAsia"/>
                <w:color w:val="auto"/>
              </w:rPr>
              <w:t>1</w:t>
            </w:r>
          </w:p>
        </w:tc>
        <w:tc>
          <w:tcPr>
            <w:tcW w:w="4182" w:type="dxa"/>
            <w:noWrap w:val="0"/>
            <w:vAlign w:val="center"/>
          </w:tcPr>
          <w:p w14:paraId="76CA8B06">
            <w:pPr>
              <w:pStyle w:val="50"/>
              <w:bidi w:val="0"/>
              <w:jc w:val="both"/>
              <w:rPr>
                <w:rFonts w:hint="eastAsia"/>
                <w:color w:val="auto"/>
              </w:rPr>
            </w:pPr>
            <w:r>
              <w:rPr>
                <w:rFonts w:hint="eastAsia"/>
                <w:color w:val="auto"/>
                <w:lang w:eastAsia="zh-CN"/>
              </w:rPr>
              <w:t>撬</w:t>
            </w:r>
            <w:r>
              <w:rPr>
                <w:rFonts w:hint="eastAsia"/>
                <w:color w:val="auto"/>
              </w:rPr>
              <w:t>装式汽车加油站油罐的总容积应符合下列规定:</w:t>
            </w:r>
          </w:p>
          <w:p w14:paraId="39B78E5E">
            <w:pPr>
              <w:pStyle w:val="50"/>
              <w:bidi w:val="0"/>
              <w:jc w:val="both"/>
              <w:rPr>
                <w:rFonts w:hint="eastAsia"/>
                <w:color w:val="auto"/>
              </w:rPr>
            </w:pPr>
            <w:r>
              <w:rPr>
                <w:rFonts w:hint="eastAsia"/>
                <w:color w:val="auto"/>
                <w:lang w:val="en-US" w:eastAsia="zh-CN"/>
              </w:rPr>
              <w:t>a）</w:t>
            </w:r>
            <w:r>
              <w:rPr>
                <w:rFonts w:hint="eastAsia"/>
                <w:color w:val="auto"/>
              </w:rPr>
              <w:t>设在城市中心区内时，油罐的总容积不应大于10</w:t>
            </w:r>
            <w:r>
              <w:rPr>
                <w:rFonts w:hint="eastAsia"/>
                <w:color w:val="auto"/>
                <w:lang w:val="en-US" w:eastAsia="zh-CN"/>
              </w:rPr>
              <w:t>m</w:t>
            </w:r>
            <w:r>
              <w:rPr>
                <w:rFonts w:hint="eastAsia"/>
                <w:color w:val="auto"/>
                <w:vertAlign w:val="superscript"/>
                <w:lang w:val="en-US" w:eastAsia="zh-CN"/>
              </w:rPr>
              <w:t>3</w:t>
            </w:r>
            <w:r>
              <w:rPr>
                <w:rFonts w:hint="eastAsia"/>
                <w:color w:val="auto"/>
              </w:rPr>
              <w:t>;</w:t>
            </w:r>
          </w:p>
          <w:p w14:paraId="1DE24F54">
            <w:pPr>
              <w:pStyle w:val="50"/>
              <w:bidi w:val="0"/>
              <w:jc w:val="both"/>
              <w:rPr>
                <w:rFonts w:hint="eastAsia"/>
                <w:color w:val="auto"/>
              </w:rPr>
            </w:pPr>
            <w:r>
              <w:rPr>
                <w:rFonts w:hint="eastAsia"/>
                <w:color w:val="auto"/>
                <w:lang w:val="en-US" w:eastAsia="zh-CN"/>
              </w:rPr>
              <w:t>b</w:t>
            </w:r>
            <w:r>
              <w:rPr>
                <w:rFonts w:hint="eastAsia"/>
                <w:color w:val="auto"/>
                <w:lang w:eastAsia="zh-CN"/>
              </w:rPr>
              <w:t>）</w:t>
            </w:r>
            <w:r>
              <w:rPr>
                <w:rFonts w:hint="eastAsia"/>
                <w:color w:val="auto"/>
              </w:rPr>
              <w:t>设在城市建成区内时，油罐的总容积不应大于20</w:t>
            </w:r>
            <w:r>
              <w:rPr>
                <w:rFonts w:hint="eastAsia"/>
                <w:color w:val="auto"/>
                <w:lang w:val="en-US" w:eastAsia="zh-CN"/>
              </w:rPr>
              <w:t>m</w:t>
            </w:r>
            <w:r>
              <w:rPr>
                <w:rFonts w:hint="eastAsia"/>
                <w:color w:val="auto"/>
                <w:vertAlign w:val="superscript"/>
                <w:lang w:val="en-US" w:eastAsia="zh-CN"/>
              </w:rPr>
              <w:t>3</w:t>
            </w:r>
            <w:r>
              <w:rPr>
                <w:rFonts w:hint="eastAsia"/>
                <w:color w:val="auto"/>
              </w:rPr>
              <w:t>:</w:t>
            </w:r>
          </w:p>
          <w:p w14:paraId="19B65BFB">
            <w:pPr>
              <w:pStyle w:val="50"/>
              <w:bidi w:val="0"/>
              <w:jc w:val="both"/>
              <w:rPr>
                <w:rFonts w:hint="eastAsia"/>
                <w:color w:val="auto"/>
              </w:rPr>
            </w:pPr>
            <w:r>
              <w:rPr>
                <w:rFonts w:hint="eastAsia"/>
                <w:color w:val="auto"/>
                <w:lang w:val="en-US" w:eastAsia="zh-CN"/>
              </w:rPr>
              <w:t>c</w:t>
            </w:r>
            <w:r>
              <w:rPr>
                <w:rFonts w:hint="eastAsia"/>
                <w:color w:val="auto"/>
                <w:lang w:eastAsia="zh-CN"/>
              </w:rPr>
              <w:t>）</w:t>
            </w:r>
            <w:r>
              <w:rPr>
                <w:rFonts w:hint="eastAsia"/>
                <w:color w:val="auto"/>
              </w:rPr>
              <w:t>设在其他区域时，油罐的总容积不应大于40</w:t>
            </w:r>
            <w:r>
              <w:rPr>
                <w:rFonts w:hint="eastAsia"/>
                <w:color w:val="auto"/>
                <w:lang w:val="en-US" w:eastAsia="zh-CN"/>
              </w:rPr>
              <w:t>m</w:t>
            </w:r>
            <w:r>
              <w:rPr>
                <w:rFonts w:hint="eastAsia"/>
                <w:color w:val="auto"/>
                <w:vertAlign w:val="superscript"/>
                <w:lang w:val="en-US" w:eastAsia="zh-CN"/>
              </w:rPr>
              <w:t>3</w:t>
            </w:r>
            <w:r>
              <w:rPr>
                <w:rFonts w:hint="eastAsia"/>
                <w:color w:val="auto"/>
              </w:rPr>
              <w:t>;</w:t>
            </w:r>
          </w:p>
          <w:p w14:paraId="4EC46984">
            <w:pPr>
              <w:pStyle w:val="50"/>
              <w:bidi w:val="0"/>
              <w:jc w:val="both"/>
              <w:rPr>
                <w:color w:val="auto"/>
              </w:rPr>
            </w:pPr>
            <w:r>
              <w:rPr>
                <w:rFonts w:hint="eastAsia"/>
                <w:color w:val="auto"/>
                <w:lang w:val="en-US" w:eastAsia="zh-CN"/>
              </w:rPr>
              <w:t>d</w:t>
            </w:r>
            <w:r>
              <w:rPr>
                <w:rFonts w:hint="eastAsia"/>
                <w:color w:val="auto"/>
                <w:lang w:eastAsia="zh-CN"/>
              </w:rPr>
              <w:t>）</w:t>
            </w:r>
            <w:r>
              <w:rPr>
                <w:rFonts w:hint="eastAsia"/>
                <w:color w:val="auto"/>
              </w:rPr>
              <w:t>柴油罐容积可折半计入油罐总容积。</w:t>
            </w:r>
          </w:p>
        </w:tc>
        <w:tc>
          <w:tcPr>
            <w:tcW w:w="1642" w:type="dxa"/>
            <w:noWrap w:val="0"/>
            <w:vAlign w:val="center"/>
          </w:tcPr>
          <w:p w14:paraId="43764248">
            <w:pPr>
              <w:pStyle w:val="50"/>
              <w:bidi w:val="0"/>
              <w:rPr>
                <w:rFonts w:hint="default"/>
                <w:color w:val="auto"/>
                <w:lang w:val="en-US" w:eastAsia="zh-CN"/>
              </w:rPr>
            </w:pPr>
            <w:r>
              <w:rPr>
                <w:rFonts w:hint="default"/>
                <w:color w:val="auto"/>
                <w:lang w:val="en-US" w:eastAsia="zh-CN"/>
              </w:rPr>
              <w:t>橇装式汽车加油站技术标准</w:t>
            </w:r>
          </w:p>
          <w:p w14:paraId="5D276298">
            <w:pPr>
              <w:pStyle w:val="50"/>
              <w:bidi w:val="0"/>
              <w:rPr>
                <w:color w:val="auto"/>
              </w:rPr>
            </w:pPr>
            <w:r>
              <w:rPr>
                <w:rFonts w:hint="default"/>
                <w:color w:val="auto"/>
                <w:lang w:val="en-US" w:eastAsia="zh-CN"/>
              </w:rPr>
              <w:t>SH/T3134-20</w:t>
            </w:r>
            <w:r>
              <w:rPr>
                <w:rFonts w:hint="eastAsia"/>
                <w:color w:val="auto"/>
                <w:lang w:val="en-US" w:eastAsia="zh-CN"/>
              </w:rPr>
              <w:t>23</w:t>
            </w:r>
            <w:r>
              <w:rPr>
                <w:color w:val="auto"/>
              </w:rPr>
              <w:t>第</w:t>
            </w:r>
            <w:r>
              <w:rPr>
                <w:rFonts w:hint="eastAsia"/>
                <w:color w:val="auto"/>
                <w:lang w:val="en-US" w:eastAsia="zh-CN"/>
              </w:rPr>
              <w:t>5.1.1</w:t>
            </w:r>
            <w:r>
              <w:rPr>
                <w:color w:val="auto"/>
              </w:rPr>
              <w:t>条</w:t>
            </w:r>
          </w:p>
        </w:tc>
        <w:tc>
          <w:tcPr>
            <w:tcW w:w="1798" w:type="dxa"/>
            <w:noWrap w:val="0"/>
            <w:vAlign w:val="center"/>
          </w:tcPr>
          <w:p w14:paraId="331F0BF7">
            <w:pPr>
              <w:pStyle w:val="50"/>
              <w:bidi w:val="0"/>
              <w:rPr>
                <w:rFonts w:hint="default" w:eastAsia="宋体"/>
                <w:color w:val="auto"/>
                <w:lang w:val="en-US" w:eastAsia="zh-CN"/>
              </w:rPr>
            </w:pPr>
            <w:r>
              <w:rPr>
                <w:rFonts w:hint="eastAsia"/>
                <w:color w:val="auto"/>
                <w:lang w:eastAsia="zh-CN"/>
              </w:rPr>
              <w:t>该项目</w:t>
            </w:r>
            <w:r>
              <w:rPr>
                <w:rFonts w:hint="eastAsia"/>
                <w:color w:val="auto"/>
                <w:lang w:val="en-US" w:eastAsia="zh-CN"/>
              </w:rPr>
              <w:t>柴油折半计入油罐总容积为15m</w:t>
            </w:r>
            <w:r>
              <w:rPr>
                <w:rFonts w:hint="eastAsia"/>
                <w:color w:val="auto"/>
                <w:vertAlign w:val="superscript"/>
                <w:lang w:val="en-US" w:eastAsia="zh-CN"/>
              </w:rPr>
              <w:t>3</w:t>
            </w:r>
          </w:p>
        </w:tc>
        <w:tc>
          <w:tcPr>
            <w:tcW w:w="715" w:type="dxa"/>
            <w:noWrap w:val="0"/>
            <w:vAlign w:val="center"/>
          </w:tcPr>
          <w:p w14:paraId="22A68678">
            <w:pPr>
              <w:pStyle w:val="50"/>
              <w:bidi w:val="0"/>
              <w:rPr>
                <w:color w:val="auto"/>
              </w:rPr>
            </w:pPr>
            <w:r>
              <w:rPr>
                <w:color w:val="auto"/>
              </w:rPr>
              <w:t>符合</w:t>
            </w:r>
          </w:p>
        </w:tc>
      </w:tr>
      <w:tr w14:paraId="430044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155" w:hRule="atLeast"/>
          <w:jc w:val="center"/>
        </w:trPr>
        <w:tc>
          <w:tcPr>
            <w:tcW w:w="735" w:type="dxa"/>
            <w:noWrap w:val="0"/>
            <w:vAlign w:val="center"/>
          </w:tcPr>
          <w:p w14:paraId="0F74810F">
            <w:pPr>
              <w:pStyle w:val="50"/>
              <w:bidi w:val="0"/>
              <w:rPr>
                <w:rFonts w:hint="eastAsia"/>
                <w:color w:val="auto"/>
              </w:rPr>
            </w:pPr>
            <w:r>
              <w:rPr>
                <w:rFonts w:hint="eastAsia"/>
                <w:color w:val="auto"/>
              </w:rPr>
              <w:t>2</w:t>
            </w:r>
          </w:p>
        </w:tc>
        <w:tc>
          <w:tcPr>
            <w:tcW w:w="4182" w:type="dxa"/>
            <w:noWrap w:val="0"/>
            <w:vAlign w:val="center"/>
          </w:tcPr>
          <w:p w14:paraId="0BC4A701">
            <w:pPr>
              <w:pStyle w:val="50"/>
              <w:bidi w:val="0"/>
              <w:jc w:val="both"/>
              <w:rPr>
                <w:color w:val="auto"/>
              </w:rPr>
            </w:pPr>
            <w:r>
              <w:rPr>
                <w:rFonts w:hint="eastAsia"/>
                <w:color w:val="auto"/>
              </w:rPr>
              <w:t>当汽油罐单罐容积大于10</w:t>
            </w:r>
            <w:r>
              <w:rPr>
                <w:rFonts w:hint="eastAsia"/>
                <w:color w:val="auto"/>
                <w:lang w:val="en-US" w:eastAsia="zh-CN"/>
              </w:rPr>
              <w:t>m</w:t>
            </w:r>
            <w:r>
              <w:rPr>
                <w:rFonts w:hint="eastAsia"/>
                <w:color w:val="auto"/>
                <w:vertAlign w:val="superscript"/>
                <w:lang w:val="en-US" w:eastAsia="zh-CN"/>
              </w:rPr>
              <w:t>3</w:t>
            </w:r>
            <w:r>
              <w:rPr>
                <w:rFonts w:hint="eastAsia"/>
                <w:color w:val="auto"/>
              </w:rPr>
              <w:t>时，罐内应设隔舱，隔舱的容积不应大于10</w:t>
            </w:r>
            <w:r>
              <w:rPr>
                <w:rFonts w:hint="eastAsia"/>
                <w:color w:val="auto"/>
                <w:lang w:val="en-US" w:eastAsia="zh-CN"/>
              </w:rPr>
              <w:t>m</w:t>
            </w:r>
            <w:r>
              <w:rPr>
                <w:rFonts w:hint="eastAsia"/>
                <w:color w:val="auto"/>
                <w:vertAlign w:val="superscript"/>
                <w:lang w:val="en-US" w:eastAsia="zh-CN"/>
              </w:rPr>
              <w:t>3</w:t>
            </w:r>
            <w:r>
              <w:rPr>
                <w:rFonts w:hint="eastAsia"/>
                <w:color w:val="auto"/>
              </w:rPr>
              <w:t>。当柴油罐单罐容积大于20</w:t>
            </w:r>
            <w:r>
              <w:rPr>
                <w:rFonts w:hint="eastAsia"/>
                <w:color w:val="auto"/>
                <w:lang w:val="en-US" w:eastAsia="zh-CN"/>
              </w:rPr>
              <w:t>m</w:t>
            </w:r>
            <w:r>
              <w:rPr>
                <w:rFonts w:hint="eastAsia"/>
                <w:color w:val="auto"/>
                <w:vertAlign w:val="superscript"/>
                <w:lang w:val="en-US" w:eastAsia="zh-CN"/>
              </w:rPr>
              <w:t>3</w:t>
            </w:r>
            <w:r>
              <w:rPr>
                <w:rFonts w:hint="eastAsia"/>
                <w:color w:val="auto"/>
              </w:rPr>
              <w:t>时，罐内应设隔舱，隔舱的容积20</w:t>
            </w:r>
            <w:r>
              <w:rPr>
                <w:rFonts w:hint="eastAsia"/>
                <w:color w:val="auto"/>
                <w:lang w:val="en-US" w:eastAsia="zh-CN"/>
              </w:rPr>
              <w:t>m</w:t>
            </w:r>
            <w:r>
              <w:rPr>
                <w:rFonts w:hint="eastAsia"/>
                <w:color w:val="auto"/>
                <w:vertAlign w:val="superscript"/>
                <w:lang w:val="en-US" w:eastAsia="zh-CN"/>
              </w:rPr>
              <w:t>3</w:t>
            </w:r>
            <w:r>
              <w:rPr>
                <w:rFonts w:hint="eastAsia"/>
                <w:color w:val="auto"/>
                <w:vertAlign w:val="baseline"/>
                <w:lang w:val="en-US" w:eastAsia="zh-CN"/>
              </w:rPr>
              <w:t>。</w:t>
            </w:r>
          </w:p>
        </w:tc>
        <w:tc>
          <w:tcPr>
            <w:tcW w:w="1642" w:type="dxa"/>
            <w:noWrap w:val="0"/>
            <w:vAlign w:val="center"/>
          </w:tcPr>
          <w:p w14:paraId="05AD0677">
            <w:pPr>
              <w:pStyle w:val="50"/>
              <w:bidi w:val="0"/>
              <w:rPr>
                <w:rFonts w:hint="default"/>
                <w:color w:val="auto"/>
                <w:lang w:val="en-US" w:eastAsia="zh-CN"/>
              </w:rPr>
            </w:pPr>
            <w:r>
              <w:rPr>
                <w:rFonts w:hint="default"/>
                <w:color w:val="auto"/>
                <w:lang w:val="en-US" w:eastAsia="zh-CN"/>
              </w:rPr>
              <w:t>橇装式汽车加油站技术标准</w:t>
            </w:r>
          </w:p>
          <w:p w14:paraId="5CE22940">
            <w:pPr>
              <w:pStyle w:val="50"/>
              <w:bidi w:val="0"/>
              <w:rPr>
                <w:color w:val="auto"/>
              </w:rPr>
            </w:pPr>
            <w:r>
              <w:rPr>
                <w:rFonts w:hint="default"/>
                <w:color w:val="auto"/>
                <w:lang w:val="en-US" w:eastAsia="zh-CN"/>
              </w:rPr>
              <w:t>SH/T3134-20</w:t>
            </w:r>
            <w:r>
              <w:rPr>
                <w:rFonts w:hint="eastAsia"/>
                <w:color w:val="auto"/>
                <w:lang w:val="en-US" w:eastAsia="zh-CN"/>
              </w:rPr>
              <w:t>23</w:t>
            </w:r>
            <w:r>
              <w:rPr>
                <w:color w:val="auto"/>
              </w:rPr>
              <w:t>第</w:t>
            </w:r>
            <w:r>
              <w:rPr>
                <w:rFonts w:hint="eastAsia"/>
                <w:color w:val="auto"/>
                <w:lang w:val="en-US" w:eastAsia="zh-CN"/>
              </w:rPr>
              <w:t>5.1.2</w:t>
            </w:r>
            <w:r>
              <w:rPr>
                <w:color w:val="auto"/>
              </w:rPr>
              <w:t>条</w:t>
            </w:r>
          </w:p>
        </w:tc>
        <w:tc>
          <w:tcPr>
            <w:tcW w:w="1798" w:type="dxa"/>
            <w:noWrap w:val="0"/>
            <w:vAlign w:val="center"/>
          </w:tcPr>
          <w:p w14:paraId="3F6A0532">
            <w:pPr>
              <w:pStyle w:val="50"/>
              <w:bidi w:val="0"/>
              <w:rPr>
                <w:rFonts w:hint="eastAsia" w:eastAsia="宋体"/>
                <w:color w:val="auto"/>
                <w:lang w:eastAsia="zh-CN"/>
              </w:rPr>
            </w:pPr>
            <w:r>
              <w:rPr>
                <w:rFonts w:hint="eastAsia"/>
                <w:color w:val="auto"/>
              </w:rPr>
              <w:t>罐内设隔舱，隔舱的容积</w:t>
            </w:r>
            <w:r>
              <w:rPr>
                <w:rFonts w:hint="eastAsia"/>
                <w:color w:val="auto"/>
                <w:lang w:val="en-US" w:eastAsia="zh-CN"/>
              </w:rPr>
              <w:t>15m</w:t>
            </w:r>
            <w:r>
              <w:rPr>
                <w:rFonts w:hint="eastAsia"/>
                <w:color w:val="auto"/>
                <w:vertAlign w:val="superscript"/>
                <w:lang w:val="en-US" w:eastAsia="zh-CN"/>
              </w:rPr>
              <w:t>3</w:t>
            </w:r>
          </w:p>
        </w:tc>
        <w:tc>
          <w:tcPr>
            <w:tcW w:w="715" w:type="dxa"/>
            <w:noWrap w:val="0"/>
            <w:vAlign w:val="center"/>
          </w:tcPr>
          <w:p w14:paraId="61E86279">
            <w:pPr>
              <w:pStyle w:val="50"/>
              <w:bidi w:val="0"/>
              <w:rPr>
                <w:rFonts w:hint="eastAsia" w:eastAsia="宋体"/>
                <w:color w:val="auto"/>
                <w:lang w:val="en-US" w:eastAsia="zh-CN"/>
              </w:rPr>
            </w:pPr>
            <w:r>
              <w:rPr>
                <w:rFonts w:hint="eastAsia"/>
                <w:color w:val="auto"/>
                <w:lang w:val="en-US" w:eastAsia="zh-CN"/>
              </w:rPr>
              <w:t>符合</w:t>
            </w:r>
          </w:p>
        </w:tc>
      </w:tr>
      <w:tr w14:paraId="2382D7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48" w:hRule="atLeast"/>
          <w:jc w:val="center"/>
        </w:trPr>
        <w:tc>
          <w:tcPr>
            <w:tcW w:w="735" w:type="dxa"/>
            <w:noWrap w:val="0"/>
            <w:vAlign w:val="center"/>
          </w:tcPr>
          <w:p w14:paraId="2DEA9BE7">
            <w:pPr>
              <w:pStyle w:val="50"/>
              <w:bidi w:val="0"/>
              <w:rPr>
                <w:rFonts w:hint="eastAsia"/>
                <w:color w:val="auto"/>
              </w:rPr>
            </w:pPr>
            <w:r>
              <w:rPr>
                <w:rFonts w:hint="eastAsia"/>
                <w:color w:val="auto"/>
              </w:rPr>
              <w:t>3</w:t>
            </w:r>
          </w:p>
        </w:tc>
        <w:tc>
          <w:tcPr>
            <w:tcW w:w="4182" w:type="dxa"/>
            <w:noWrap w:val="0"/>
            <w:vAlign w:val="center"/>
          </w:tcPr>
          <w:p w14:paraId="17B645D3">
            <w:pPr>
              <w:pStyle w:val="50"/>
              <w:bidi w:val="0"/>
              <w:jc w:val="both"/>
              <w:rPr>
                <w:color w:val="auto"/>
              </w:rPr>
            </w:pPr>
            <w:r>
              <w:rPr>
                <w:rFonts w:hint="eastAsia"/>
                <w:color w:val="auto"/>
                <w:lang w:eastAsia="zh-CN"/>
              </w:rPr>
              <w:t>撬</w:t>
            </w:r>
            <w:r>
              <w:rPr>
                <w:rFonts w:hint="eastAsia"/>
                <w:color w:val="auto"/>
              </w:rPr>
              <w:t>装式汽车加油站应独立建设。</w:t>
            </w:r>
          </w:p>
        </w:tc>
        <w:tc>
          <w:tcPr>
            <w:tcW w:w="1642" w:type="dxa"/>
            <w:noWrap w:val="0"/>
            <w:vAlign w:val="center"/>
          </w:tcPr>
          <w:p w14:paraId="2B7BB3F4">
            <w:pPr>
              <w:pStyle w:val="50"/>
              <w:bidi w:val="0"/>
              <w:rPr>
                <w:rFonts w:hint="default"/>
                <w:b/>
                <w:bCs/>
                <w:color w:val="auto"/>
                <w:lang w:val="en-US" w:eastAsia="zh-CN"/>
              </w:rPr>
            </w:pPr>
            <w:r>
              <w:rPr>
                <w:rFonts w:hint="default"/>
                <w:color w:val="auto"/>
                <w:lang w:val="en-US" w:eastAsia="zh-CN"/>
              </w:rPr>
              <w:t>橇装式汽车加油站技术标准</w:t>
            </w:r>
          </w:p>
          <w:p w14:paraId="1AE71B57">
            <w:pPr>
              <w:pStyle w:val="50"/>
              <w:bidi w:val="0"/>
              <w:rPr>
                <w:color w:val="auto"/>
              </w:rPr>
            </w:pPr>
            <w:r>
              <w:rPr>
                <w:rFonts w:hint="default"/>
                <w:color w:val="auto"/>
                <w:lang w:val="en-US" w:eastAsia="zh-CN"/>
              </w:rPr>
              <w:t>SH/T3134-20</w:t>
            </w:r>
            <w:r>
              <w:rPr>
                <w:rFonts w:hint="eastAsia"/>
                <w:color w:val="auto"/>
                <w:lang w:val="en-US" w:eastAsia="zh-CN"/>
              </w:rPr>
              <w:t>23</w:t>
            </w:r>
            <w:r>
              <w:rPr>
                <w:color w:val="auto"/>
              </w:rPr>
              <w:t>第</w:t>
            </w:r>
            <w:r>
              <w:rPr>
                <w:rFonts w:hint="eastAsia"/>
                <w:color w:val="auto"/>
                <w:lang w:val="en-US" w:eastAsia="zh-CN"/>
              </w:rPr>
              <w:t>5.1.3</w:t>
            </w:r>
            <w:r>
              <w:rPr>
                <w:color w:val="auto"/>
              </w:rPr>
              <w:t>条</w:t>
            </w:r>
          </w:p>
        </w:tc>
        <w:tc>
          <w:tcPr>
            <w:tcW w:w="1798" w:type="dxa"/>
            <w:noWrap w:val="0"/>
            <w:vAlign w:val="center"/>
          </w:tcPr>
          <w:p w14:paraId="6B70BDCE">
            <w:pPr>
              <w:pStyle w:val="50"/>
              <w:bidi w:val="0"/>
              <w:rPr>
                <w:rFonts w:hint="eastAsia" w:eastAsia="宋体"/>
                <w:color w:val="auto"/>
                <w:lang w:val="en-US" w:eastAsia="zh-CN"/>
              </w:rPr>
            </w:pPr>
            <w:r>
              <w:rPr>
                <w:rFonts w:hint="eastAsia"/>
                <w:color w:val="auto"/>
                <w:lang w:val="en-US" w:eastAsia="zh-CN"/>
              </w:rPr>
              <w:t>独立建设</w:t>
            </w:r>
          </w:p>
        </w:tc>
        <w:tc>
          <w:tcPr>
            <w:tcW w:w="715" w:type="dxa"/>
            <w:noWrap w:val="0"/>
            <w:vAlign w:val="center"/>
          </w:tcPr>
          <w:p w14:paraId="2F6BDE16">
            <w:pPr>
              <w:pStyle w:val="50"/>
              <w:bidi w:val="0"/>
              <w:rPr>
                <w:rFonts w:hint="eastAsia" w:eastAsia="宋体"/>
                <w:color w:val="auto"/>
                <w:lang w:val="en-US" w:eastAsia="zh-CN"/>
              </w:rPr>
            </w:pPr>
            <w:r>
              <w:rPr>
                <w:rFonts w:hint="eastAsia"/>
                <w:color w:val="auto"/>
                <w:lang w:val="en-US" w:eastAsia="zh-CN"/>
              </w:rPr>
              <w:t>符合</w:t>
            </w:r>
          </w:p>
        </w:tc>
      </w:tr>
      <w:tr w14:paraId="5D3389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03" w:hRule="atLeast"/>
          <w:jc w:val="center"/>
        </w:trPr>
        <w:tc>
          <w:tcPr>
            <w:tcW w:w="735" w:type="dxa"/>
            <w:noWrap w:val="0"/>
            <w:vAlign w:val="center"/>
          </w:tcPr>
          <w:p w14:paraId="1A11497D">
            <w:pPr>
              <w:pStyle w:val="50"/>
              <w:bidi w:val="0"/>
              <w:rPr>
                <w:color w:val="auto"/>
              </w:rPr>
            </w:pPr>
            <w:r>
              <w:rPr>
                <w:rFonts w:hint="eastAsia"/>
                <w:color w:val="auto"/>
              </w:rPr>
              <w:t>4</w:t>
            </w:r>
          </w:p>
        </w:tc>
        <w:tc>
          <w:tcPr>
            <w:tcW w:w="4182" w:type="dxa"/>
            <w:noWrap w:val="0"/>
            <w:vAlign w:val="center"/>
          </w:tcPr>
          <w:p w14:paraId="329DBFF9">
            <w:pPr>
              <w:pStyle w:val="50"/>
              <w:bidi w:val="0"/>
              <w:jc w:val="both"/>
              <w:rPr>
                <w:color w:val="auto"/>
              </w:rPr>
            </w:pPr>
            <w:r>
              <w:rPr>
                <w:rFonts w:hint="eastAsia"/>
                <w:color w:val="auto"/>
                <w:lang w:eastAsia="zh-CN"/>
              </w:rPr>
              <w:t>撬</w:t>
            </w:r>
            <w:r>
              <w:rPr>
                <w:rFonts w:hint="eastAsia"/>
                <w:color w:val="auto"/>
              </w:rPr>
              <w:t>装式加油装置与站外建(构)筑物的安全间距，不应小于表5.14的规定。</w:t>
            </w:r>
          </w:p>
        </w:tc>
        <w:tc>
          <w:tcPr>
            <w:tcW w:w="1642" w:type="dxa"/>
            <w:noWrap w:val="0"/>
            <w:vAlign w:val="center"/>
          </w:tcPr>
          <w:p w14:paraId="6C9C3905">
            <w:pPr>
              <w:pStyle w:val="50"/>
              <w:bidi w:val="0"/>
              <w:rPr>
                <w:rFonts w:hint="default"/>
                <w:color w:val="auto"/>
                <w:lang w:val="en-US" w:eastAsia="zh-CN"/>
              </w:rPr>
            </w:pPr>
            <w:r>
              <w:rPr>
                <w:rFonts w:hint="default"/>
                <w:color w:val="auto"/>
                <w:lang w:val="en-US" w:eastAsia="zh-CN"/>
              </w:rPr>
              <w:t>橇装式汽车加油站技术标准</w:t>
            </w:r>
          </w:p>
          <w:p w14:paraId="2F05CC39">
            <w:pPr>
              <w:pStyle w:val="50"/>
              <w:bidi w:val="0"/>
              <w:rPr>
                <w:color w:val="auto"/>
              </w:rPr>
            </w:pPr>
            <w:r>
              <w:rPr>
                <w:rFonts w:hint="default"/>
                <w:color w:val="auto"/>
                <w:lang w:val="en-US" w:eastAsia="zh-CN"/>
              </w:rPr>
              <w:t>SH/T3134-20</w:t>
            </w:r>
            <w:r>
              <w:rPr>
                <w:rFonts w:hint="eastAsia"/>
                <w:color w:val="auto"/>
                <w:lang w:val="en-US" w:eastAsia="zh-CN"/>
              </w:rPr>
              <w:t>23</w:t>
            </w:r>
            <w:r>
              <w:rPr>
                <w:color w:val="auto"/>
              </w:rPr>
              <w:t>第</w:t>
            </w:r>
            <w:r>
              <w:rPr>
                <w:rFonts w:hint="eastAsia"/>
                <w:color w:val="auto"/>
                <w:lang w:val="en-US" w:eastAsia="zh-CN"/>
              </w:rPr>
              <w:t>5.1.4</w:t>
            </w:r>
            <w:r>
              <w:rPr>
                <w:color w:val="auto"/>
              </w:rPr>
              <w:t>条</w:t>
            </w:r>
          </w:p>
        </w:tc>
        <w:tc>
          <w:tcPr>
            <w:tcW w:w="1798" w:type="dxa"/>
            <w:noWrap w:val="0"/>
            <w:vAlign w:val="center"/>
          </w:tcPr>
          <w:p w14:paraId="129D7A78">
            <w:pPr>
              <w:pStyle w:val="50"/>
              <w:bidi w:val="0"/>
              <w:rPr>
                <w:color w:val="auto"/>
              </w:rPr>
            </w:pPr>
            <w:r>
              <w:rPr>
                <w:rFonts w:hint="eastAsia"/>
                <w:color w:val="auto"/>
                <w:lang w:val="en-US" w:eastAsia="zh-CN"/>
              </w:rPr>
              <w:t>与站外建构筑物</w:t>
            </w:r>
            <w:r>
              <w:rPr>
                <w:rFonts w:hint="eastAsia"/>
                <w:color w:val="auto"/>
              </w:rPr>
              <w:t>安全间距，不小于表5.14的规定。</w:t>
            </w:r>
          </w:p>
        </w:tc>
        <w:tc>
          <w:tcPr>
            <w:tcW w:w="715" w:type="dxa"/>
            <w:noWrap w:val="0"/>
            <w:vAlign w:val="center"/>
          </w:tcPr>
          <w:p w14:paraId="06589353">
            <w:pPr>
              <w:pStyle w:val="50"/>
              <w:bidi w:val="0"/>
              <w:rPr>
                <w:color w:val="auto"/>
              </w:rPr>
            </w:pPr>
            <w:r>
              <w:rPr>
                <w:color w:val="auto"/>
              </w:rPr>
              <w:t>符合</w:t>
            </w:r>
          </w:p>
        </w:tc>
      </w:tr>
      <w:tr w14:paraId="59954C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95" w:hRule="atLeast"/>
          <w:jc w:val="center"/>
        </w:trPr>
        <w:tc>
          <w:tcPr>
            <w:tcW w:w="735" w:type="dxa"/>
            <w:noWrap w:val="0"/>
            <w:vAlign w:val="center"/>
          </w:tcPr>
          <w:p w14:paraId="6CD076B7">
            <w:pPr>
              <w:pStyle w:val="50"/>
              <w:bidi w:val="0"/>
              <w:rPr>
                <w:color w:val="auto"/>
              </w:rPr>
            </w:pPr>
            <w:r>
              <w:rPr>
                <w:rFonts w:hint="eastAsia"/>
                <w:color w:val="auto"/>
              </w:rPr>
              <w:t>5</w:t>
            </w:r>
          </w:p>
        </w:tc>
        <w:tc>
          <w:tcPr>
            <w:tcW w:w="4182" w:type="dxa"/>
            <w:noWrap w:val="0"/>
            <w:vAlign w:val="center"/>
          </w:tcPr>
          <w:p w14:paraId="28762BB6">
            <w:pPr>
              <w:pStyle w:val="50"/>
              <w:bidi w:val="0"/>
              <w:jc w:val="both"/>
              <w:rPr>
                <w:rFonts w:hint="default" w:eastAsia="宋体"/>
                <w:color w:val="auto"/>
                <w:lang w:val="en-US" w:eastAsia="zh-CN"/>
              </w:rPr>
            </w:pPr>
            <w:r>
              <w:rPr>
                <w:rFonts w:hint="eastAsia"/>
                <w:color w:val="auto"/>
                <w:lang w:val="en-US" w:eastAsia="zh-CN"/>
              </w:rPr>
              <w:t>汽车加油站的站址选择应符合有关规划、环境保护和防火安全的要求，并应选在交通便利、用户使用方便的地点</w:t>
            </w:r>
          </w:p>
        </w:tc>
        <w:tc>
          <w:tcPr>
            <w:tcW w:w="1642" w:type="dxa"/>
            <w:noWrap w:val="0"/>
            <w:vAlign w:val="center"/>
          </w:tcPr>
          <w:p w14:paraId="45802054">
            <w:pPr>
              <w:pStyle w:val="50"/>
              <w:bidi w:val="0"/>
              <w:rPr>
                <w:rFonts w:hint="eastAsia"/>
                <w:color w:val="auto"/>
                <w:lang w:val="en-US" w:eastAsia="zh-CN"/>
              </w:rPr>
            </w:pPr>
            <w:r>
              <w:rPr>
                <w:rFonts w:hint="eastAsia"/>
                <w:color w:val="auto"/>
                <w:lang w:val="en-US" w:eastAsia="zh-CN"/>
              </w:rPr>
              <w:t>橇装式汽车加油站技术标准</w:t>
            </w:r>
          </w:p>
          <w:p w14:paraId="00607918">
            <w:pPr>
              <w:pStyle w:val="50"/>
              <w:bidi w:val="0"/>
              <w:rPr>
                <w:rFonts w:hint="default" w:eastAsia="宋体"/>
                <w:color w:val="auto"/>
                <w:lang w:val="en-US" w:eastAsia="zh-CN"/>
              </w:rPr>
            </w:pPr>
            <w:r>
              <w:rPr>
                <w:rFonts w:hint="eastAsia"/>
                <w:color w:val="auto"/>
                <w:lang w:val="en-US" w:eastAsia="zh-CN"/>
              </w:rPr>
              <w:t>GB50156-2021第4.0.1</w:t>
            </w:r>
          </w:p>
        </w:tc>
        <w:tc>
          <w:tcPr>
            <w:tcW w:w="1798" w:type="dxa"/>
            <w:noWrap w:val="0"/>
            <w:vAlign w:val="center"/>
          </w:tcPr>
          <w:p w14:paraId="2AF6A149">
            <w:pPr>
              <w:pStyle w:val="50"/>
              <w:bidi w:val="0"/>
              <w:rPr>
                <w:rFonts w:hint="default" w:eastAsia="宋体"/>
                <w:color w:val="auto"/>
                <w:lang w:val="en-US" w:eastAsia="zh-CN"/>
              </w:rPr>
            </w:pPr>
            <w:r>
              <w:rPr>
                <w:rFonts w:hint="eastAsia"/>
                <w:color w:val="auto"/>
                <w:lang w:val="en-US" w:eastAsia="zh-CN"/>
              </w:rPr>
              <w:t>该项目符合所述要求，选址交通便利、用户使用方便</w:t>
            </w:r>
          </w:p>
        </w:tc>
        <w:tc>
          <w:tcPr>
            <w:tcW w:w="715" w:type="dxa"/>
            <w:noWrap w:val="0"/>
            <w:vAlign w:val="center"/>
          </w:tcPr>
          <w:p w14:paraId="6306E728">
            <w:pPr>
              <w:pStyle w:val="50"/>
              <w:bidi w:val="0"/>
              <w:rPr>
                <w:color w:val="auto"/>
              </w:rPr>
            </w:pPr>
            <w:r>
              <w:rPr>
                <w:color w:val="auto"/>
              </w:rPr>
              <w:t>符合</w:t>
            </w:r>
          </w:p>
        </w:tc>
      </w:tr>
      <w:tr w14:paraId="1E5C81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05" w:hRule="atLeast"/>
          <w:jc w:val="center"/>
        </w:trPr>
        <w:tc>
          <w:tcPr>
            <w:tcW w:w="735" w:type="dxa"/>
            <w:noWrap w:val="0"/>
            <w:vAlign w:val="center"/>
          </w:tcPr>
          <w:p w14:paraId="5E6C3B38">
            <w:pPr>
              <w:pStyle w:val="50"/>
              <w:bidi w:val="0"/>
              <w:rPr>
                <w:color w:val="auto"/>
              </w:rPr>
            </w:pPr>
            <w:r>
              <w:rPr>
                <w:rFonts w:hint="eastAsia"/>
                <w:color w:val="auto"/>
              </w:rPr>
              <w:t>6</w:t>
            </w:r>
          </w:p>
        </w:tc>
        <w:tc>
          <w:tcPr>
            <w:tcW w:w="4182" w:type="dxa"/>
            <w:noWrap w:val="0"/>
            <w:vAlign w:val="center"/>
          </w:tcPr>
          <w:p w14:paraId="5F982C20">
            <w:pPr>
              <w:pStyle w:val="50"/>
              <w:bidi w:val="0"/>
              <w:jc w:val="both"/>
              <w:rPr>
                <w:rFonts w:hint="default" w:eastAsia="宋体"/>
                <w:color w:val="auto"/>
                <w:lang w:val="en-US" w:eastAsia="zh-CN"/>
              </w:rPr>
            </w:pPr>
            <w:r>
              <w:rPr>
                <w:rFonts w:hint="eastAsia"/>
                <w:color w:val="auto"/>
                <w:lang w:val="en-US" w:eastAsia="zh-CN"/>
              </w:rPr>
              <w:t>在城市中心区不应建一级汽车加油站。</w:t>
            </w:r>
          </w:p>
        </w:tc>
        <w:tc>
          <w:tcPr>
            <w:tcW w:w="1642" w:type="dxa"/>
            <w:noWrap w:val="0"/>
            <w:vAlign w:val="center"/>
          </w:tcPr>
          <w:p w14:paraId="78B8D2AE">
            <w:pPr>
              <w:pStyle w:val="50"/>
              <w:bidi w:val="0"/>
              <w:rPr>
                <w:rFonts w:hint="eastAsia"/>
                <w:color w:val="auto"/>
                <w:lang w:val="en-US" w:eastAsia="zh-CN"/>
              </w:rPr>
            </w:pPr>
            <w:r>
              <w:rPr>
                <w:rFonts w:hint="eastAsia"/>
                <w:color w:val="auto"/>
                <w:lang w:val="en-US" w:eastAsia="zh-CN"/>
              </w:rPr>
              <w:t>橇装式汽车加油站技术标准</w:t>
            </w:r>
          </w:p>
          <w:p w14:paraId="1C4E21CB">
            <w:pPr>
              <w:pStyle w:val="50"/>
              <w:bidi w:val="0"/>
              <w:rPr>
                <w:rFonts w:hint="default"/>
                <w:color w:val="auto"/>
                <w:lang w:val="en-US"/>
              </w:rPr>
            </w:pPr>
            <w:r>
              <w:rPr>
                <w:rFonts w:hint="eastAsia"/>
                <w:color w:val="auto"/>
                <w:lang w:val="en-US" w:eastAsia="zh-CN"/>
              </w:rPr>
              <w:t>GB50156-2021第4.0.2</w:t>
            </w:r>
          </w:p>
        </w:tc>
        <w:tc>
          <w:tcPr>
            <w:tcW w:w="1798" w:type="dxa"/>
            <w:noWrap w:val="0"/>
            <w:vAlign w:val="center"/>
          </w:tcPr>
          <w:p w14:paraId="1A8C6D01">
            <w:pPr>
              <w:pStyle w:val="50"/>
              <w:bidi w:val="0"/>
              <w:rPr>
                <w:rFonts w:hint="default" w:eastAsia="宋体"/>
                <w:color w:val="auto"/>
                <w:lang w:val="en-US" w:eastAsia="zh-CN"/>
              </w:rPr>
            </w:pPr>
            <w:r>
              <w:rPr>
                <w:rFonts w:hint="eastAsia"/>
                <w:color w:val="auto"/>
                <w:lang w:val="en-US" w:eastAsia="zh-CN"/>
              </w:rPr>
              <w:t>该项目为三级站</w:t>
            </w:r>
          </w:p>
        </w:tc>
        <w:tc>
          <w:tcPr>
            <w:tcW w:w="715" w:type="dxa"/>
            <w:noWrap w:val="0"/>
            <w:vAlign w:val="center"/>
          </w:tcPr>
          <w:p w14:paraId="1D4C7BB7">
            <w:pPr>
              <w:pStyle w:val="50"/>
              <w:bidi w:val="0"/>
              <w:rPr>
                <w:color w:val="auto"/>
              </w:rPr>
            </w:pPr>
            <w:r>
              <w:rPr>
                <w:color w:val="auto"/>
              </w:rPr>
              <w:t>符合</w:t>
            </w:r>
          </w:p>
        </w:tc>
      </w:tr>
    </w:tbl>
    <w:p w14:paraId="5507D585">
      <w:pPr>
        <w:pStyle w:val="3"/>
        <w:bidi w:val="0"/>
        <w:rPr>
          <w:rFonts w:hint="default"/>
          <w:lang w:val="en-US" w:eastAsia="zh-CN"/>
        </w:rPr>
      </w:pPr>
      <w:bookmarkStart w:id="98" w:name="_Toc7778"/>
      <w:r>
        <w:rPr>
          <w:rFonts w:hint="default"/>
          <w:lang w:val="en-US" w:eastAsia="zh-CN"/>
        </w:rPr>
        <w:t>F3.2 总平面布置及建筑结构单元安全检查表</w:t>
      </w:r>
      <w:bookmarkEnd w:id="98"/>
    </w:p>
    <w:p w14:paraId="6EFFF648">
      <w:pPr>
        <w:rPr>
          <w:rFonts w:hint="default"/>
          <w:lang w:val="en-US" w:eastAsia="zh-CN"/>
        </w:rPr>
      </w:pPr>
      <w:r>
        <w:rPr>
          <w:rFonts w:hint="default"/>
          <w:lang w:val="en-US" w:eastAsia="zh-CN"/>
        </w:rPr>
        <w:t>对照《撬装式汽车加油站技术标准》（SH/T3134-2023）、《汽车加油加气加氢站技术标准》（GB50156-2021），对项目站内设施之间的防火间距、总平面布置进行检查，分别见表F3.2-1、表F3.2-2。</w:t>
      </w:r>
    </w:p>
    <w:p w14:paraId="1E385617">
      <w:pPr>
        <w:ind w:left="0" w:leftChars="0" w:firstLine="0" w:firstLineChars="0"/>
        <w:jc w:val="center"/>
        <w:rPr>
          <w:rFonts w:hint="default"/>
          <w:lang w:val="en-US" w:eastAsia="zh-CN"/>
        </w:rPr>
      </w:pPr>
      <w:r>
        <w:rPr>
          <w:rFonts w:hint="default"/>
          <w:lang w:val="en-US" w:eastAsia="zh-CN"/>
        </w:rPr>
        <w:t>表F3.2-1 站内设施之间的防火间距检查表</w:t>
      </w:r>
    </w:p>
    <w:tbl>
      <w:tblPr>
        <w:tblStyle w:val="20"/>
        <w:tblW w:w="5073"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339"/>
        <w:gridCol w:w="701"/>
        <w:gridCol w:w="1684"/>
        <w:gridCol w:w="1330"/>
        <w:gridCol w:w="1326"/>
        <w:gridCol w:w="1887"/>
        <w:gridCol w:w="948"/>
      </w:tblGrid>
      <w:tr w14:paraId="4E045A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726" w:type="pct"/>
            <w:noWrap w:val="0"/>
            <w:vAlign w:val="center"/>
          </w:tcPr>
          <w:p w14:paraId="1BBE8C1B">
            <w:pPr>
              <w:pStyle w:val="45"/>
              <w:bidi w:val="0"/>
              <w:spacing w:line="240" w:lineRule="auto"/>
              <w:jc w:val="center"/>
              <w:rPr>
                <w:rFonts w:hint="default" w:ascii="Times New Roman" w:hAnsi="Times New Roman" w:eastAsia="宋体" w:cs="Times New Roman"/>
                <w:b/>
                <w:bCs w:val="0"/>
                <w:color w:val="auto"/>
              </w:rPr>
            </w:pPr>
            <w:r>
              <w:rPr>
                <w:rFonts w:hint="default" w:ascii="Times New Roman" w:hAnsi="Times New Roman" w:eastAsia="宋体" w:cs="Times New Roman"/>
                <w:b/>
                <w:bCs w:val="0"/>
                <w:color w:val="auto"/>
              </w:rPr>
              <w:t>设施名称</w:t>
            </w:r>
          </w:p>
        </w:tc>
        <w:tc>
          <w:tcPr>
            <w:tcW w:w="380" w:type="pct"/>
            <w:noWrap w:val="0"/>
            <w:vAlign w:val="center"/>
          </w:tcPr>
          <w:p w14:paraId="330D966B">
            <w:pPr>
              <w:pStyle w:val="45"/>
              <w:bidi w:val="0"/>
              <w:spacing w:line="240" w:lineRule="auto"/>
              <w:jc w:val="center"/>
              <w:rPr>
                <w:rFonts w:hint="default" w:ascii="Times New Roman" w:hAnsi="Times New Roman" w:eastAsia="宋体" w:cs="Times New Roman"/>
                <w:b/>
                <w:bCs w:val="0"/>
                <w:color w:val="auto"/>
              </w:rPr>
            </w:pPr>
            <w:r>
              <w:rPr>
                <w:rFonts w:hint="default" w:ascii="Times New Roman" w:hAnsi="Times New Roman" w:eastAsia="宋体" w:cs="Times New Roman"/>
                <w:b/>
                <w:bCs w:val="0"/>
                <w:color w:val="auto"/>
              </w:rPr>
              <w:t>方位</w:t>
            </w:r>
          </w:p>
        </w:tc>
        <w:tc>
          <w:tcPr>
            <w:tcW w:w="913" w:type="pct"/>
            <w:noWrap w:val="0"/>
            <w:vAlign w:val="center"/>
          </w:tcPr>
          <w:p w14:paraId="15789EBF">
            <w:pPr>
              <w:pStyle w:val="45"/>
              <w:bidi w:val="0"/>
              <w:spacing w:line="240" w:lineRule="auto"/>
              <w:jc w:val="center"/>
              <w:rPr>
                <w:rFonts w:hint="default" w:ascii="Times New Roman" w:hAnsi="Times New Roman" w:eastAsia="宋体" w:cs="Times New Roman"/>
                <w:b/>
                <w:bCs w:val="0"/>
                <w:color w:val="auto"/>
              </w:rPr>
            </w:pPr>
            <w:r>
              <w:rPr>
                <w:rFonts w:hint="default" w:ascii="Times New Roman" w:hAnsi="Times New Roman" w:eastAsia="宋体" w:cs="Times New Roman"/>
                <w:b/>
                <w:bCs w:val="0"/>
                <w:color w:val="auto"/>
              </w:rPr>
              <w:t>界外设施</w:t>
            </w:r>
          </w:p>
        </w:tc>
        <w:tc>
          <w:tcPr>
            <w:tcW w:w="721" w:type="pct"/>
            <w:noWrap w:val="0"/>
            <w:vAlign w:val="center"/>
          </w:tcPr>
          <w:p w14:paraId="79EF990B">
            <w:pPr>
              <w:pStyle w:val="45"/>
              <w:bidi w:val="0"/>
              <w:spacing w:line="240" w:lineRule="auto"/>
              <w:jc w:val="center"/>
              <w:rPr>
                <w:rFonts w:hint="default" w:ascii="Times New Roman" w:hAnsi="Times New Roman" w:eastAsia="宋体" w:cs="Times New Roman"/>
                <w:b/>
                <w:bCs w:val="0"/>
                <w:color w:val="auto"/>
              </w:rPr>
            </w:pPr>
            <w:r>
              <w:rPr>
                <w:rFonts w:hint="default" w:ascii="Times New Roman" w:hAnsi="Times New Roman" w:eastAsia="宋体" w:cs="Times New Roman"/>
                <w:b/>
                <w:bCs w:val="0"/>
                <w:color w:val="auto"/>
              </w:rPr>
              <w:t>设计距离（m）</w:t>
            </w:r>
          </w:p>
        </w:tc>
        <w:tc>
          <w:tcPr>
            <w:tcW w:w="719" w:type="pct"/>
            <w:noWrap w:val="0"/>
            <w:vAlign w:val="center"/>
          </w:tcPr>
          <w:p w14:paraId="132D9E85">
            <w:pPr>
              <w:pStyle w:val="45"/>
              <w:bidi w:val="0"/>
              <w:spacing w:line="240" w:lineRule="auto"/>
              <w:jc w:val="center"/>
              <w:rPr>
                <w:rFonts w:hint="default" w:ascii="Times New Roman" w:hAnsi="Times New Roman" w:eastAsia="宋体" w:cs="Times New Roman"/>
                <w:b/>
                <w:bCs w:val="0"/>
                <w:color w:val="auto"/>
              </w:rPr>
            </w:pPr>
            <w:r>
              <w:rPr>
                <w:rFonts w:hint="default" w:ascii="Times New Roman" w:hAnsi="Times New Roman" w:eastAsia="宋体" w:cs="Times New Roman"/>
                <w:b/>
                <w:bCs w:val="0"/>
                <w:color w:val="auto"/>
              </w:rPr>
              <w:t>规范距离（m）</w:t>
            </w:r>
          </w:p>
        </w:tc>
        <w:tc>
          <w:tcPr>
            <w:tcW w:w="1023" w:type="pct"/>
            <w:noWrap w:val="0"/>
            <w:vAlign w:val="center"/>
          </w:tcPr>
          <w:p w14:paraId="2C4FDE11">
            <w:pPr>
              <w:pStyle w:val="45"/>
              <w:bidi w:val="0"/>
              <w:spacing w:line="240" w:lineRule="auto"/>
              <w:jc w:val="center"/>
              <w:rPr>
                <w:rFonts w:hint="default" w:ascii="Times New Roman" w:hAnsi="Times New Roman" w:eastAsia="宋体" w:cs="Times New Roman"/>
                <w:b/>
                <w:bCs w:val="0"/>
                <w:color w:val="auto"/>
              </w:rPr>
            </w:pPr>
            <w:r>
              <w:rPr>
                <w:rFonts w:hint="default" w:ascii="Times New Roman" w:hAnsi="Times New Roman" w:eastAsia="宋体" w:cs="Times New Roman"/>
                <w:b/>
                <w:bCs w:val="0"/>
                <w:color w:val="auto"/>
              </w:rPr>
              <w:t>依据规范</w:t>
            </w:r>
          </w:p>
        </w:tc>
        <w:tc>
          <w:tcPr>
            <w:tcW w:w="514" w:type="pct"/>
            <w:noWrap w:val="0"/>
            <w:vAlign w:val="center"/>
          </w:tcPr>
          <w:p w14:paraId="46A627E3">
            <w:pPr>
              <w:pStyle w:val="45"/>
              <w:bidi w:val="0"/>
              <w:spacing w:line="240" w:lineRule="auto"/>
              <w:jc w:val="center"/>
              <w:rPr>
                <w:rFonts w:hint="default" w:ascii="Times New Roman" w:hAnsi="Times New Roman" w:eastAsia="宋体" w:cs="Times New Roman"/>
                <w:b/>
                <w:bCs w:val="0"/>
                <w:color w:val="auto"/>
              </w:rPr>
            </w:pPr>
            <w:r>
              <w:rPr>
                <w:rFonts w:hint="default" w:ascii="Times New Roman" w:hAnsi="Times New Roman" w:eastAsia="宋体" w:cs="Times New Roman"/>
                <w:b/>
                <w:bCs w:val="0"/>
                <w:color w:val="auto"/>
              </w:rPr>
              <w:t>符合性</w:t>
            </w:r>
          </w:p>
        </w:tc>
      </w:tr>
      <w:tr w14:paraId="20CE94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726" w:type="pct"/>
            <w:vMerge w:val="restart"/>
            <w:noWrap w:val="0"/>
            <w:vAlign w:val="center"/>
          </w:tcPr>
          <w:p w14:paraId="261C1895">
            <w:pPr>
              <w:pStyle w:val="4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撬装加油装置</w:t>
            </w:r>
          </w:p>
        </w:tc>
        <w:tc>
          <w:tcPr>
            <w:tcW w:w="380" w:type="pct"/>
            <w:noWrap w:val="0"/>
            <w:vAlign w:val="center"/>
          </w:tcPr>
          <w:p w14:paraId="34ED5312">
            <w:pPr>
              <w:pStyle w:val="45"/>
              <w:bidi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东</w:t>
            </w:r>
          </w:p>
        </w:tc>
        <w:tc>
          <w:tcPr>
            <w:tcW w:w="913" w:type="pct"/>
            <w:noWrap w:val="0"/>
            <w:vAlign w:val="center"/>
          </w:tcPr>
          <w:p w14:paraId="6801C824">
            <w:pPr>
              <w:pStyle w:val="45"/>
              <w:bidi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卧式砂仓</w:t>
            </w:r>
          </w:p>
        </w:tc>
        <w:tc>
          <w:tcPr>
            <w:tcW w:w="721" w:type="pct"/>
            <w:noWrap w:val="0"/>
            <w:vAlign w:val="center"/>
          </w:tcPr>
          <w:p w14:paraId="39B443CE">
            <w:pPr>
              <w:pStyle w:val="45"/>
              <w:bidi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28.5</w:t>
            </w:r>
          </w:p>
        </w:tc>
        <w:tc>
          <w:tcPr>
            <w:tcW w:w="719" w:type="pct"/>
            <w:noWrap w:val="0"/>
            <w:vAlign w:val="center"/>
          </w:tcPr>
          <w:p w14:paraId="2D8C1649">
            <w:pPr>
              <w:pStyle w:val="4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16</w:t>
            </w:r>
          </w:p>
        </w:tc>
        <w:tc>
          <w:tcPr>
            <w:tcW w:w="1023" w:type="pct"/>
            <w:vMerge w:val="restart"/>
            <w:noWrap w:val="0"/>
            <w:vAlign w:val="center"/>
          </w:tcPr>
          <w:p w14:paraId="50D9B3B6">
            <w:pPr>
              <w:pStyle w:val="45"/>
              <w:bidi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SH/T3134-20</w:t>
            </w:r>
            <w:r>
              <w:rPr>
                <w:rFonts w:hint="default" w:ascii="Times New Roman" w:hAnsi="Times New Roman" w:eastAsia="宋体" w:cs="Times New Roman"/>
                <w:color w:val="auto"/>
                <w:lang w:val="en-US" w:eastAsia="zh-CN"/>
              </w:rPr>
              <w:t>23</w:t>
            </w:r>
          </w:p>
          <w:p w14:paraId="447D8C5D">
            <w:pPr>
              <w:pStyle w:val="4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第</w:t>
            </w:r>
            <w:r>
              <w:rPr>
                <w:rFonts w:hint="default" w:ascii="Times New Roman" w:hAnsi="Times New Roman" w:eastAsia="宋体" w:cs="Times New Roman"/>
                <w:color w:val="auto"/>
                <w:lang w:val="en-US" w:eastAsia="zh-CN"/>
              </w:rPr>
              <w:t>5.1.4</w:t>
            </w:r>
            <w:r>
              <w:rPr>
                <w:rFonts w:hint="default" w:ascii="Times New Roman" w:hAnsi="Times New Roman" w:eastAsia="宋体" w:cs="Times New Roman"/>
                <w:color w:val="auto"/>
              </w:rPr>
              <w:t>条</w:t>
            </w:r>
          </w:p>
        </w:tc>
        <w:tc>
          <w:tcPr>
            <w:tcW w:w="514" w:type="pct"/>
            <w:noWrap w:val="0"/>
            <w:vAlign w:val="center"/>
          </w:tcPr>
          <w:p w14:paraId="13AB8340">
            <w:pPr>
              <w:pStyle w:val="4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符合</w:t>
            </w:r>
          </w:p>
        </w:tc>
      </w:tr>
      <w:tr w14:paraId="3122F6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726" w:type="pct"/>
            <w:vMerge w:val="continue"/>
            <w:noWrap w:val="0"/>
            <w:vAlign w:val="center"/>
          </w:tcPr>
          <w:p w14:paraId="056E4300">
            <w:pPr>
              <w:pStyle w:val="45"/>
              <w:bidi w:val="0"/>
              <w:spacing w:line="240" w:lineRule="auto"/>
              <w:jc w:val="center"/>
              <w:rPr>
                <w:rFonts w:hint="default" w:ascii="Times New Roman" w:hAnsi="Times New Roman" w:eastAsia="宋体" w:cs="Times New Roman"/>
                <w:color w:val="auto"/>
              </w:rPr>
            </w:pPr>
          </w:p>
        </w:tc>
        <w:tc>
          <w:tcPr>
            <w:tcW w:w="380" w:type="pct"/>
            <w:tcBorders>
              <w:top w:val="nil"/>
            </w:tcBorders>
            <w:noWrap w:val="0"/>
            <w:vAlign w:val="center"/>
          </w:tcPr>
          <w:p w14:paraId="43228B26">
            <w:pPr>
              <w:pStyle w:val="45"/>
              <w:bidi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东南</w:t>
            </w:r>
          </w:p>
        </w:tc>
        <w:tc>
          <w:tcPr>
            <w:tcW w:w="913" w:type="pct"/>
            <w:noWrap w:val="0"/>
            <w:vAlign w:val="center"/>
          </w:tcPr>
          <w:p w14:paraId="6D763314">
            <w:pPr>
              <w:pStyle w:val="45"/>
              <w:bidi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卷扬机房</w:t>
            </w:r>
          </w:p>
        </w:tc>
        <w:tc>
          <w:tcPr>
            <w:tcW w:w="721" w:type="pct"/>
            <w:noWrap w:val="0"/>
            <w:vAlign w:val="center"/>
          </w:tcPr>
          <w:p w14:paraId="5F341587">
            <w:pPr>
              <w:pStyle w:val="45"/>
              <w:bidi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28.3</w:t>
            </w:r>
          </w:p>
        </w:tc>
        <w:tc>
          <w:tcPr>
            <w:tcW w:w="719" w:type="pct"/>
            <w:noWrap w:val="0"/>
            <w:vAlign w:val="center"/>
          </w:tcPr>
          <w:p w14:paraId="55F42FB4">
            <w:pPr>
              <w:pStyle w:val="4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16</w:t>
            </w:r>
          </w:p>
        </w:tc>
        <w:tc>
          <w:tcPr>
            <w:tcW w:w="1023" w:type="pct"/>
            <w:vMerge w:val="continue"/>
            <w:noWrap w:val="0"/>
            <w:vAlign w:val="center"/>
          </w:tcPr>
          <w:p w14:paraId="5F278FFE">
            <w:pPr>
              <w:pStyle w:val="45"/>
              <w:bidi w:val="0"/>
              <w:spacing w:line="240" w:lineRule="auto"/>
              <w:jc w:val="center"/>
              <w:rPr>
                <w:rFonts w:hint="default" w:ascii="Times New Roman" w:hAnsi="Times New Roman" w:eastAsia="宋体" w:cs="Times New Roman"/>
                <w:color w:val="auto"/>
              </w:rPr>
            </w:pPr>
          </w:p>
        </w:tc>
        <w:tc>
          <w:tcPr>
            <w:tcW w:w="514" w:type="pct"/>
            <w:noWrap w:val="0"/>
            <w:vAlign w:val="center"/>
          </w:tcPr>
          <w:p w14:paraId="046F99D8">
            <w:pPr>
              <w:pStyle w:val="4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符合</w:t>
            </w:r>
          </w:p>
        </w:tc>
      </w:tr>
      <w:tr w14:paraId="30F88E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726" w:type="pct"/>
            <w:vMerge w:val="continue"/>
            <w:noWrap w:val="0"/>
            <w:vAlign w:val="center"/>
          </w:tcPr>
          <w:p w14:paraId="22790E95">
            <w:pPr>
              <w:pStyle w:val="45"/>
              <w:bidi w:val="0"/>
              <w:spacing w:line="240" w:lineRule="auto"/>
              <w:jc w:val="center"/>
              <w:rPr>
                <w:rFonts w:hint="default" w:ascii="Times New Roman" w:hAnsi="Times New Roman" w:eastAsia="宋体" w:cs="Times New Roman"/>
                <w:color w:val="auto"/>
              </w:rPr>
            </w:pPr>
          </w:p>
        </w:tc>
        <w:tc>
          <w:tcPr>
            <w:tcW w:w="380" w:type="pct"/>
            <w:noWrap w:val="0"/>
            <w:vAlign w:val="center"/>
          </w:tcPr>
          <w:p w14:paraId="68CD43CE">
            <w:pPr>
              <w:pStyle w:val="45"/>
              <w:bidi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西南</w:t>
            </w:r>
          </w:p>
        </w:tc>
        <w:tc>
          <w:tcPr>
            <w:tcW w:w="913" w:type="pct"/>
            <w:noWrap w:val="0"/>
            <w:vAlign w:val="center"/>
          </w:tcPr>
          <w:p w14:paraId="78CF6745">
            <w:pPr>
              <w:pStyle w:val="45"/>
              <w:bidi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矿堆场</w:t>
            </w:r>
          </w:p>
        </w:tc>
        <w:tc>
          <w:tcPr>
            <w:tcW w:w="721" w:type="pct"/>
            <w:noWrap w:val="0"/>
            <w:vAlign w:val="center"/>
          </w:tcPr>
          <w:p w14:paraId="4498D5B5">
            <w:pPr>
              <w:pStyle w:val="45"/>
              <w:bidi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16.1</w:t>
            </w:r>
          </w:p>
        </w:tc>
        <w:tc>
          <w:tcPr>
            <w:tcW w:w="719" w:type="pct"/>
            <w:noWrap w:val="0"/>
            <w:vAlign w:val="center"/>
          </w:tcPr>
          <w:p w14:paraId="4C867091">
            <w:pPr>
              <w:pStyle w:val="45"/>
              <w:bidi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16</w:t>
            </w:r>
          </w:p>
        </w:tc>
        <w:tc>
          <w:tcPr>
            <w:tcW w:w="1023" w:type="pct"/>
            <w:vMerge w:val="continue"/>
            <w:noWrap w:val="0"/>
            <w:vAlign w:val="center"/>
          </w:tcPr>
          <w:p w14:paraId="21F8E910">
            <w:pPr>
              <w:pStyle w:val="45"/>
              <w:bidi w:val="0"/>
              <w:spacing w:line="240" w:lineRule="auto"/>
              <w:jc w:val="center"/>
              <w:rPr>
                <w:rFonts w:hint="default" w:ascii="Times New Roman" w:hAnsi="Times New Roman" w:eastAsia="宋体" w:cs="Times New Roman"/>
                <w:color w:val="auto"/>
              </w:rPr>
            </w:pPr>
          </w:p>
        </w:tc>
        <w:tc>
          <w:tcPr>
            <w:tcW w:w="514" w:type="pct"/>
            <w:noWrap w:val="0"/>
            <w:vAlign w:val="center"/>
          </w:tcPr>
          <w:p w14:paraId="19EE81CD">
            <w:pPr>
              <w:pStyle w:val="4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符合</w:t>
            </w:r>
          </w:p>
        </w:tc>
      </w:tr>
      <w:tr w14:paraId="412575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726" w:type="pct"/>
            <w:vMerge w:val="restart"/>
            <w:noWrap w:val="0"/>
            <w:vAlign w:val="center"/>
          </w:tcPr>
          <w:p w14:paraId="3383A6B9">
            <w:pPr>
              <w:pStyle w:val="45"/>
              <w:bidi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加油机</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通气管口</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油气回收装置</w:t>
            </w:r>
          </w:p>
        </w:tc>
        <w:tc>
          <w:tcPr>
            <w:tcW w:w="380" w:type="pct"/>
            <w:noWrap w:val="0"/>
            <w:vAlign w:val="center"/>
          </w:tcPr>
          <w:p w14:paraId="3C42EBE1">
            <w:pPr>
              <w:pStyle w:val="45"/>
              <w:bidi w:val="0"/>
              <w:spacing w:line="240" w:lineRule="auto"/>
              <w:ind w:left="0" w:leftChars="0"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东</w:t>
            </w:r>
          </w:p>
        </w:tc>
        <w:tc>
          <w:tcPr>
            <w:tcW w:w="913" w:type="pct"/>
            <w:noWrap w:val="0"/>
            <w:vAlign w:val="center"/>
          </w:tcPr>
          <w:p w14:paraId="56420C2B">
            <w:pPr>
              <w:pStyle w:val="4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卧式砂仓</w:t>
            </w:r>
          </w:p>
        </w:tc>
        <w:tc>
          <w:tcPr>
            <w:tcW w:w="721" w:type="pct"/>
            <w:noWrap w:val="0"/>
            <w:vAlign w:val="center"/>
          </w:tcPr>
          <w:p w14:paraId="50F991A1">
            <w:pPr>
              <w:pStyle w:val="45"/>
              <w:bidi w:val="0"/>
              <w:spacing w:line="240" w:lineRule="auto"/>
              <w:ind w:left="0" w:leftChars="0"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28.5</w:t>
            </w:r>
          </w:p>
        </w:tc>
        <w:tc>
          <w:tcPr>
            <w:tcW w:w="719" w:type="pct"/>
            <w:noWrap w:val="0"/>
            <w:vAlign w:val="center"/>
          </w:tcPr>
          <w:p w14:paraId="6C4966F2">
            <w:pPr>
              <w:pStyle w:val="4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9</w:t>
            </w:r>
          </w:p>
        </w:tc>
        <w:tc>
          <w:tcPr>
            <w:tcW w:w="1023" w:type="pct"/>
            <w:vMerge w:val="restart"/>
            <w:noWrap w:val="0"/>
            <w:vAlign w:val="center"/>
          </w:tcPr>
          <w:p w14:paraId="5A1ED785">
            <w:pPr>
              <w:pStyle w:val="4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GB50156-2021</w:t>
            </w:r>
          </w:p>
          <w:p w14:paraId="78F5BC86">
            <w:pPr>
              <w:pStyle w:val="4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第4.0.4条</w:t>
            </w:r>
          </w:p>
        </w:tc>
        <w:tc>
          <w:tcPr>
            <w:tcW w:w="514" w:type="pct"/>
            <w:noWrap w:val="0"/>
            <w:vAlign w:val="center"/>
          </w:tcPr>
          <w:p w14:paraId="69E5AAF2">
            <w:pPr>
              <w:pStyle w:val="4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符合</w:t>
            </w:r>
          </w:p>
        </w:tc>
      </w:tr>
      <w:tr w14:paraId="362946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726" w:type="pct"/>
            <w:vMerge w:val="continue"/>
            <w:noWrap w:val="0"/>
            <w:vAlign w:val="center"/>
          </w:tcPr>
          <w:p w14:paraId="55E88249">
            <w:pPr>
              <w:pStyle w:val="45"/>
              <w:bidi w:val="0"/>
              <w:spacing w:line="240" w:lineRule="auto"/>
              <w:jc w:val="center"/>
              <w:rPr>
                <w:rFonts w:hint="default" w:ascii="Times New Roman" w:hAnsi="Times New Roman" w:eastAsia="宋体" w:cs="Times New Roman"/>
                <w:color w:val="auto"/>
              </w:rPr>
            </w:pPr>
          </w:p>
        </w:tc>
        <w:tc>
          <w:tcPr>
            <w:tcW w:w="380" w:type="pct"/>
            <w:tcBorders>
              <w:top w:val="nil"/>
            </w:tcBorders>
            <w:noWrap w:val="0"/>
            <w:vAlign w:val="center"/>
          </w:tcPr>
          <w:p w14:paraId="6F21F84C">
            <w:pPr>
              <w:pStyle w:val="45"/>
              <w:bidi w:val="0"/>
              <w:spacing w:line="240" w:lineRule="auto"/>
              <w:ind w:left="0" w:leftChars="0"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东南</w:t>
            </w:r>
          </w:p>
        </w:tc>
        <w:tc>
          <w:tcPr>
            <w:tcW w:w="913" w:type="pct"/>
            <w:noWrap w:val="0"/>
            <w:vAlign w:val="center"/>
          </w:tcPr>
          <w:p w14:paraId="499139AC">
            <w:pPr>
              <w:pStyle w:val="4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卷扬机房</w:t>
            </w:r>
          </w:p>
        </w:tc>
        <w:tc>
          <w:tcPr>
            <w:tcW w:w="721" w:type="pct"/>
            <w:noWrap w:val="0"/>
            <w:vAlign w:val="center"/>
          </w:tcPr>
          <w:p w14:paraId="6D572C5F">
            <w:pPr>
              <w:pStyle w:val="45"/>
              <w:bidi w:val="0"/>
              <w:spacing w:line="240" w:lineRule="auto"/>
              <w:ind w:left="0" w:leftChars="0"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28.3</w:t>
            </w:r>
          </w:p>
        </w:tc>
        <w:tc>
          <w:tcPr>
            <w:tcW w:w="719" w:type="pct"/>
            <w:noWrap w:val="0"/>
            <w:vAlign w:val="center"/>
          </w:tcPr>
          <w:p w14:paraId="6A517313">
            <w:pPr>
              <w:pStyle w:val="4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9</w:t>
            </w:r>
          </w:p>
        </w:tc>
        <w:tc>
          <w:tcPr>
            <w:tcW w:w="1023" w:type="pct"/>
            <w:vMerge w:val="continue"/>
            <w:tcBorders>
              <w:top w:val="nil"/>
            </w:tcBorders>
            <w:noWrap w:val="0"/>
            <w:vAlign w:val="center"/>
          </w:tcPr>
          <w:p w14:paraId="28C60DBA">
            <w:pPr>
              <w:pStyle w:val="45"/>
              <w:bidi w:val="0"/>
              <w:spacing w:line="240" w:lineRule="auto"/>
              <w:jc w:val="center"/>
              <w:rPr>
                <w:rFonts w:hint="default" w:ascii="Times New Roman" w:hAnsi="Times New Roman" w:eastAsia="宋体" w:cs="Times New Roman"/>
                <w:color w:val="auto"/>
              </w:rPr>
            </w:pPr>
          </w:p>
        </w:tc>
        <w:tc>
          <w:tcPr>
            <w:tcW w:w="514" w:type="pct"/>
            <w:noWrap w:val="0"/>
            <w:vAlign w:val="center"/>
          </w:tcPr>
          <w:p w14:paraId="5177573F">
            <w:pPr>
              <w:pStyle w:val="4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符合</w:t>
            </w:r>
          </w:p>
        </w:tc>
      </w:tr>
      <w:tr w14:paraId="7781C6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726" w:type="pct"/>
            <w:vMerge w:val="continue"/>
            <w:noWrap w:val="0"/>
            <w:vAlign w:val="center"/>
          </w:tcPr>
          <w:p w14:paraId="77EEF903">
            <w:pPr>
              <w:pStyle w:val="45"/>
              <w:bidi w:val="0"/>
              <w:spacing w:line="240" w:lineRule="auto"/>
              <w:jc w:val="center"/>
              <w:rPr>
                <w:rFonts w:hint="default" w:ascii="Times New Roman" w:hAnsi="Times New Roman" w:eastAsia="宋体" w:cs="Times New Roman"/>
                <w:color w:val="auto"/>
                <w:lang w:val="en-US" w:eastAsia="zh-CN"/>
              </w:rPr>
            </w:pPr>
          </w:p>
        </w:tc>
        <w:tc>
          <w:tcPr>
            <w:tcW w:w="380" w:type="pct"/>
            <w:noWrap w:val="0"/>
            <w:vAlign w:val="center"/>
          </w:tcPr>
          <w:p w14:paraId="5006756F">
            <w:pPr>
              <w:pStyle w:val="45"/>
              <w:bidi w:val="0"/>
              <w:spacing w:line="240" w:lineRule="auto"/>
              <w:ind w:left="0" w:leftChars="0"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西南</w:t>
            </w:r>
          </w:p>
        </w:tc>
        <w:tc>
          <w:tcPr>
            <w:tcW w:w="913" w:type="pct"/>
            <w:noWrap w:val="0"/>
            <w:vAlign w:val="center"/>
          </w:tcPr>
          <w:p w14:paraId="1029BE92">
            <w:pPr>
              <w:pStyle w:val="4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矿堆场</w:t>
            </w:r>
          </w:p>
        </w:tc>
        <w:tc>
          <w:tcPr>
            <w:tcW w:w="721" w:type="pct"/>
            <w:noWrap w:val="0"/>
            <w:vAlign w:val="center"/>
          </w:tcPr>
          <w:p w14:paraId="7D7236D0">
            <w:pPr>
              <w:pStyle w:val="45"/>
              <w:bidi w:val="0"/>
              <w:spacing w:line="240" w:lineRule="auto"/>
              <w:ind w:left="0" w:leftChars="0"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16.1</w:t>
            </w:r>
          </w:p>
        </w:tc>
        <w:tc>
          <w:tcPr>
            <w:tcW w:w="719" w:type="pct"/>
            <w:noWrap w:val="0"/>
            <w:vAlign w:val="center"/>
          </w:tcPr>
          <w:p w14:paraId="35434762">
            <w:pPr>
              <w:pStyle w:val="45"/>
              <w:bidi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w:t>
            </w:r>
          </w:p>
        </w:tc>
        <w:tc>
          <w:tcPr>
            <w:tcW w:w="1023" w:type="pct"/>
            <w:vMerge w:val="continue"/>
            <w:tcBorders>
              <w:top w:val="nil"/>
            </w:tcBorders>
            <w:noWrap w:val="0"/>
            <w:vAlign w:val="center"/>
          </w:tcPr>
          <w:p w14:paraId="590CE9AB">
            <w:pPr>
              <w:pStyle w:val="45"/>
              <w:bidi w:val="0"/>
              <w:spacing w:line="240" w:lineRule="auto"/>
              <w:jc w:val="center"/>
              <w:rPr>
                <w:rFonts w:hint="default" w:ascii="Times New Roman" w:hAnsi="Times New Roman" w:eastAsia="宋体" w:cs="Times New Roman"/>
                <w:color w:val="auto"/>
              </w:rPr>
            </w:pPr>
          </w:p>
        </w:tc>
        <w:tc>
          <w:tcPr>
            <w:tcW w:w="514" w:type="pct"/>
            <w:noWrap w:val="0"/>
            <w:vAlign w:val="center"/>
          </w:tcPr>
          <w:p w14:paraId="7D6A0B08">
            <w:pPr>
              <w:pStyle w:val="45"/>
              <w:bidi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t>符合</w:t>
            </w:r>
          </w:p>
        </w:tc>
      </w:tr>
    </w:tbl>
    <w:p w14:paraId="7206DE58">
      <w:pPr>
        <w:ind w:left="0" w:leftChars="0" w:firstLine="0" w:firstLineChars="0"/>
        <w:jc w:val="center"/>
        <w:rPr>
          <w:rFonts w:hint="default"/>
          <w:lang w:val="en-US" w:eastAsia="zh-CN"/>
        </w:rPr>
      </w:pPr>
      <w:r>
        <w:rPr>
          <w:rFonts w:hint="default"/>
          <w:lang w:val="en-US" w:eastAsia="zh-CN"/>
        </w:rPr>
        <w:t>表F3.2-2 总平面布置及建（构）筑物安全检查表</w:t>
      </w:r>
    </w:p>
    <w:tbl>
      <w:tblPr>
        <w:tblStyle w:val="20"/>
        <w:tblW w:w="91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35"/>
        <w:gridCol w:w="4846"/>
        <w:gridCol w:w="1523"/>
        <w:gridCol w:w="1601"/>
        <w:gridCol w:w="716"/>
      </w:tblGrid>
      <w:tr w14:paraId="338B2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4" w:hRule="atLeast"/>
        </w:trPr>
        <w:tc>
          <w:tcPr>
            <w:tcW w:w="435" w:type="dxa"/>
            <w:noWrap w:val="0"/>
            <w:vAlign w:val="center"/>
          </w:tcPr>
          <w:p w14:paraId="199D4051">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b/>
                <w:bCs/>
                <w:color w:val="auto"/>
                <w:kern w:val="18"/>
                <w:sz w:val="21"/>
                <w:szCs w:val="21"/>
                <w:highlight w:val="none"/>
                <w:lang w:val="en-US" w:eastAsia="zh-CN" w:bidi="ar-SA"/>
              </w:rPr>
            </w:pPr>
            <w:r>
              <w:rPr>
                <w:rFonts w:ascii="Times New Roman" w:hAnsi="Times New Roman" w:eastAsia="宋体" w:cs="Times New Roman"/>
                <w:b/>
                <w:bCs/>
                <w:color w:val="auto"/>
                <w:kern w:val="18"/>
                <w:sz w:val="21"/>
                <w:szCs w:val="21"/>
                <w:highlight w:val="none"/>
                <w:lang w:val="en-US" w:eastAsia="zh-CN" w:bidi="ar-SA"/>
              </w:rPr>
              <w:t>序号</w:t>
            </w:r>
          </w:p>
        </w:tc>
        <w:tc>
          <w:tcPr>
            <w:tcW w:w="4846" w:type="dxa"/>
            <w:noWrap w:val="0"/>
            <w:vAlign w:val="center"/>
          </w:tcPr>
          <w:p w14:paraId="0978331C">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b/>
                <w:bCs/>
                <w:color w:val="auto"/>
                <w:kern w:val="18"/>
                <w:sz w:val="21"/>
                <w:szCs w:val="21"/>
                <w:highlight w:val="none"/>
                <w:lang w:val="en-US" w:eastAsia="zh-CN" w:bidi="ar-SA"/>
              </w:rPr>
            </w:pPr>
            <w:r>
              <w:rPr>
                <w:rFonts w:ascii="Times New Roman" w:hAnsi="Times New Roman" w:eastAsia="宋体" w:cs="Times New Roman"/>
                <w:b/>
                <w:bCs/>
                <w:color w:val="auto"/>
                <w:kern w:val="18"/>
                <w:sz w:val="21"/>
                <w:szCs w:val="21"/>
                <w:highlight w:val="none"/>
                <w:lang w:val="en-US" w:eastAsia="zh-CN" w:bidi="ar-SA"/>
              </w:rPr>
              <w:t>检查内容</w:t>
            </w:r>
          </w:p>
        </w:tc>
        <w:tc>
          <w:tcPr>
            <w:tcW w:w="1523" w:type="dxa"/>
            <w:noWrap w:val="0"/>
            <w:vAlign w:val="center"/>
          </w:tcPr>
          <w:p w14:paraId="203F303C">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b/>
                <w:bCs/>
                <w:color w:val="auto"/>
                <w:kern w:val="18"/>
                <w:sz w:val="21"/>
                <w:szCs w:val="21"/>
                <w:highlight w:val="none"/>
                <w:lang w:val="en-US" w:eastAsia="zh-CN" w:bidi="ar-SA"/>
              </w:rPr>
            </w:pPr>
            <w:r>
              <w:rPr>
                <w:rFonts w:ascii="Times New Roman" w:hAnsi="Times New Roman" w:eastAsia="宋体" w:cs="Times New Roman"/>
                <w:b/>
                <w:bCs/>
                <w:color w:val="auto"/>
                <w:kern w:val="18"/>
                <w:sz w:val="21"/>
                <w:szCs w:val="21"/>
                <w:highlight w:val="none"/>
                <w:lang w:val="en-US" w:eastAsia="zh-CN" w:bidi="ar-SA"/>
              </w:rPr>
              <w:t>标准条款</w:t>
            </w:r>
          </w:p>
        </w:tc>
        <w:tc>
          <w:tcPr>
            <w:tcW w:w="1601" w:type="dxa"/>
            <w:noWrap w:val="0"/>
            <w:vAlign w:val="center"/>
          </w:tcPr>
          <w:p w14:paraId="407D13F0">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b/>
                <w:bCs/>
                <w:color w:val="auto"/>
                <w:kern w:val="18"/>
                <w:sz w:val="21"/>
                <w:szCs w:val="21"/>
                <w:highlight w:val="none"/>
                <w:lang w:val="en-US" w:eastAsia="zh-CN" w:bidi="ar-SA"/>
              </w:rPr>
            </w:pPr>
            <w:r>
              <w:rPr>
                <w:rFonts w:ascii="Times New Roman" w:hAnsi="Times New Roman" w:eastAsia="宋体" w:cs="Times New Roman"/>
                <w:b/>
                <w:bCs/>
                <w:color w:val="auto"/>
                <w:kern w:val="18"/>
                <w:sz w:val="21"/>
                <w:szCs w:val="21"/>
                <w:highlight w:val="none"/>
                <w:lang w:val="en-US" w:eastAsia="zh-CN" w:bidi="ar-SA"/>
              </w:rPr>
              <w:t>检查情况</w:t>
            </w:r>
          </w:p>
        </w:tc>
        <w:tc>
          <w:tcPr>
            <w:tcW w:w="716" w:type="dxa"/>
            <w:noWrap w:val="0"/>
            <w:vAlign w:val="center"/>
          </w:tcPr>
          <w:p w14:paraId="52CFD8CA">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b/>
                <w:bCs/>
                <w:color w:val="auto"/>
                <w:kern w:val="18"/>
                <w:sz w:val="21"/>
                <w:szCs w:val="21"/>
                <w:highlight w:val="none"/>
                <w:lang w:val="en-US" w:eastAsia="zh-CN" w:bidi="ar-SA"/>
              </w:rPr>
            </w:pPr>
            <w:r>
              <w:rPr>
                <w:rFonts w:ascii="Times New Roman" w:hAnsi="Times New Roman" w:eastAsia="宋体" w:cs="Times New Roman"/>
                <w:b/>
                <w:bCs/>
                <w:color w:val="auto"/>
                <w:kern w:val="18"/>
                <w:sz w:val="21"/>
                <w:szCs w:val="21"/>
                <w:highlight w:val="none"/>
                <w:lang w:val="en-US" w:eastAsia="zh-CN" w:bidi="ar-SA"/>
              </w:rPr>
              <w:t>评价</w:t>
            </w:r>
          </w:p>
          <w:p w14:paraId="71AFAD09">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b/>
                <w:bCs/>
                <w:color w:val="auto"/>
                <w:kern w:val="18"/>
                <w:sz w:val="21"/>
                <w:szCs w:val="21"/>
                <w:highlight w:val="none"/>
                <w:lang w:val="en-US" w:eastAsia="zh-CN" w:bidi="ar-SA"/>
              </w:rPr>
            </w:pPr>
            <w:r>
              <w:rPr>
                <w:rFonts w:ascii="Times New Roman" w:hAnsi="Times New Roman" w:eastAsia="宋体" w:cs="Times New Roman"/>
                <w:b/>
                <w:bCs/>
                <w:color w:val="auto"/>
                <w:kern w:val="18"/>
                <w:sz w:val="21"/>
                <w:szCs w:val="21"/>
                <w:highlight w:val="none"/>
                <w:lang w:val="en-US" w:eastAsia="zh-CN" w:bidi="ar-SA"/>
              </w:rPr>
              <w:t>结果</w:t>
            </w:r>
          </w:p>
        </w:tc>
      </w:tr>
      <w:tr w14:paraId="59E22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85" w:hRule="atLeast"/>
        </w:trPr>
        <w:tc>
          <w:tcPr>
            <w:tcW w:w="435" w:type="dxa"/>
            <w:noWrap w:val="0"/>
            <w:vAlign w:val="center"/>
          </w:tcPr>
          <w:p w14:paraId="56D51039">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ascii="Times New Roman" w:hAnsi="Times New Roman" w:eastAsia="宋体" w:cs="Times New Roman"/>
                <w:color w:val="auto"/>
                <w:kern w:val="18"/>
                <w:sz w:val="21"/>
                <w:szCs w:val="21"/>
                <w:highlight w:val="none"/>
                <w:lang w:val="en-US" w:eastAsia="zh-CN" w:bidi="ar-SA"/>
              </w:rPr>
              <w:t>1</w:t>
            </w:r>
          </w:p>
        </w:tc>
        <w:tc>
          <w:tcPr>
            <w:tcW w:w="4846" w:type="dxa"/>
            <w:noWrap w:val="0"/>
            <w:vAlign w:val="center"/>
          </w:tcPr>
          <w:p w14:paraId="04382F56">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rFonts w:ascii="Times New Roman" w:hAnsi="Times New Roman" w:eastAsia="宋体" w:cs="Times New Roman"/>
                <w:color w:val="auto"/>
                <w:kern w:val="18"/>
                <w:sz w:val="21"/>
                <w:szCs w:val="21"/>
                <w:highlight w:val="none"/>
                <w:lang w:val="en-US" w:eastAsia="zh-CN" w:bidi="ar-SA"/>
              </w:rPr>
              <w:t>车辆入口和出口应分开设置。</w:t>
            </w:r>
          </w:p>
        </w:tc>
        <w:tc>
          <w:tcPr>
            <w:tcW w:w="1523" w:type="dxa"/>
            <w:noWrap w:val="0"/>
            <w:vAlign w:val="center"/>
          </w:tcPr>
          <w:p w14:paraId="58DD793B">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汽车加油加气加氢站技术</w:t>
            </w:r>
            <w:r>
              <w:rPr>
                <w:rFonts w:hint="eastAsia" w:ascii="Times New Roman" w:hAnsi="Times New Roman" w:eastAsia="宋体" w:cs="Times New Roman"/>
                <w:color w:val="auto"/>
                <w:kern w:val="18"/>
                <w:sz w:val="21"/>
                <w:szCs w:val="21"/>
                <w:highlight w:val="none"/>
                <w:lang w:val="en-US" w:eastAsia="zh-CN" w:bidi="ar-SA"/>
              </w:rPr>
              <w:t>标准</w:t>
            </w:r>
            <w:r>
              <w:rPr>
                <w:rFonts w:hint="default" w:ascii="Times New Roman" w:hAnsi="Times New Roman" w:eastAsia="宋体" w:cs="Times New Roman"/>
                <w:color w:val="auto"/>
                <w:kern w:val="18"/>
                <w:sz w:val="21"/>
                <w:szCs w:val="21"/>
                <w:highlight w:val="none"/>
                <w:lang w:val="en-US" w:eastAsia="zh-CN" w:bidi="ar-SA"/>
              </w:rPr>
              <w:t>GB50156-2021第5.0.1条</w:t>
            </w:r>
          </w:p>
        </w:tc>
        <w:tc>
          <w:tcPr>
            <w:tcW w:w="1601" w:type="dxa"/>
            <w:noWrap w:val="0"/>
            <w:vAlign w:val="center"/>
          </w:tcPr>
          <w:p w14:paraId="12C40E78">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车辆</w:t>
            </w:r>
            <w:r>
              <w:rPr>
                <w:rFonts w:ascii="Times New Roman" w:hAnsi="Times New Roman" w:eastAsia="宋体" w:cs="Times New Roman"/>
                <w:color w:val="auto"/>
                <w:kern w:val="18"/>
                <w:sz w:val="21"/>
                <w:szCs w:val="21"/>
                <w:highlight w:val="none"/>
                <w:lang w:val="en-US" w:eastAsia="zh-CN" w:bidi="ar-SA"/>
              </w:rPr>
              <w:t>出、入口分开设置。</w:t>
            </w:r>
          </w:p>
        </w:tc>
        <w:tc>
          <w:tcPr>
            <w:tcW w:w="716" w:type="dxa"/>
            <w:noWrap w:val="0"/>
            <w:vAlign w:val="center"/>
          </w:tcPr>
          <w:p w14:paraId="7737A566">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ascii="Times New Roman" w:hAnsi="Times New Roman" w:eastAsia="宋体" w:cs="Times New Roman"/>
                <w:color w:val="auto"/>
                <w:kern w:val="18"/>
                <w:sz w:val="21"/>
                <w:szCs w:val="21"/>
                <w:highlight w:val="none"/>
                <w:lang w:val="en-US" w:eastAsia="zh-CN" w:bidi="ar-SA"/>
              </w:rPr>
              <w:t>合格</w:t>
            </w:r>
          </w:p>
        </w:tc>
      </w:tr>
      <w:tr w14:paraId="7F03A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39" w:hRule="atLeast"/>
        </w:trPr>
        <w:tc>
          <w:tcPr>
            <w:tcW w:w="435" w:type="dxa"/>
            <w:noWrap w:val="0"/>
            <w:vAlign w:val="center"/>
          </w:tcPr>
          <w:p w14:paraId="15E1D436">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ascii="Times New Roman" w:hAnsi="Times New Roman" w:eastAsia="宋体" w:cs="Times New Roman"/>
                <w:color w:val="auto"/>
                <w:kern w:val="18"/>
                <w:sz w:val="21"/>
                <w:szCs w:val="21"/>
                <w:highlight w:val="none"/>
                <w:lang w:val="en-US" w:eastAsia="zh-CN" w:bidi="ar-SA"/>
              </w:rPr>
              <w:t>2</w:t>
            </w:r>
          </w:p>
        </w:tc>
        <w:tc>
          <w:tcPr>
            <w:tcW w:w="4846" w:type="dxa"/>
            <w:noWrap w:val="0"/>
            <w:vAlign w:val="center"/>
          </w:tcPr>
          <w:p w14:paraId="2B60E9F3">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b w:val="0"/>
                <w:bCs w:val="0"/>
                <w:color w:val="auto"/>
                <w:kern w:val="18"/>
                <w:sz w:val="21"/>
                <w:szCs w:val="21"/>
                <w:highlight w:val="none"/>
                <w:lang w:val="en-US" w:eastAsia="zh-CN" w:bidi="ar-SA"/>
              </w:rPr>
            </w:pPr>
            <w:r>
              <w:rPr>
                <w:rFonts w:ascii="Times New Roman" w:hAnsi="Times New Roman" w:eastAsia="宋体" w:cs="Times New Roman"/>
                <w:b w:val="0"/>
                <w:bCs w:val="0"/>
                <w:color w:val="auto"/>
                <w:kern w:val="18"/>
                <w:sz w:val="21"/>
                <w:szCs w:val="21"/>
                <w:highlight w:val="none"/>
                <w:lang w:val="en-US" w:eastAsia="zh-CN" w:bidi="ar-SA"/>
              </w:rPr>
              <w:t>站区内停车场和道路应符合下列规定：</w:t>
            </w:r>
          </w:p>
          <w:p w14:paraId="750BFECB">
            <w:pPr>
              <w:keepNext w:val="0"/>
              <w:keepLines w:val="0"/>
              <w:pageBreakBefore w:val="0"/>
              <w:widowControl w:val="0"/>
              <w:numPr>
                <w:ilvl w:val="0"/>
                <w:numId w:val="2"/>
              </w:numPr>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b w:val="0"/>
                <w:bCs w:val="0"/>
                <w:color w:val="auto"/>
                <w:kern w:val="18"/>
                <w:sz w:val="21"/>
                <w:szCs w:val="21"/>
                <w:highlight w:val="none"/>
                <w:lang w:val="en-US" w:eastAsia="zh-CN" w:bidi="ar-SA"/>
              </w:rPr>
            </w:pPr>
            <w:r>
              <w:rPr>
                <w:rFonts w:ascii="Times New Roman" w:hAnsi="Times New Roman" w:eastAsia="宋体" w:cs="Times New Roman"/>
                <w:b w:val="0"/>
                <w:bCs w:val="0"/>
                <w:color w:val="auto"/>
                <w:kern w:val="18"/>
                <w:sz w:val="21"/>
                <w:szCs w:val="21"/>
                <w:highlight w:val="none"/>
                <w:lang w:val="en-US" w:eastAsia="zh-CN" w:bidi="ar-SA"/>
              </w:rPr>
              <w:t>站内车道或停车位宽度应按车辆类型确定。CNG加气母站内单车道或单车停车位宽度不应小</w:t>
            </w:r>
            <w:r>
              <w:rPr>
                <w:rFonts w:hint="eastAsia" w:ascii="Times New Roman" w:hAnsi="Times New Roman" w:eastAsia="宋体" w:cs="Times New Roman"/>
                <w:b w:val="0"/>
                <w:bCs w:val="0"/>
                <w:color w:val="auto"/>
                <w:kern w:val="18"/>
                <w:sz w:val="21"/>
                <w:szCs w:val="21"/>
                <w:highlight w:val="none"/>
                <w:lang w:val="en-US" w:eastAsia="zh-CN" w:bidi="ar-SA"/>
              </w:rPr>
              <w:t>于</w:t>
            </w:r>
            <w:r>
              <w:rPr>
                <w:rFonts w:ascii="Times New Roman" w:hAnsi="Times New Roman" w:eastAsia="宋体" w:cs="Times New Roman"/>
                <w:b w:val="0"/>
                <w:bCs w:val="0"/>
                <w:color w:val="auto"/>
                <w:kern w:val="18"/>
                <w:sz w:val="21"/>
                <w:szCs w:val="21"/>
                <w:highlight w:val="none"/>
                <w:lang w:val="en-US" w:eastAsia="zh-CN" w:bidi="ar-SA"/>
              </w:rPr>
              <w:t>5m，双车道或双车停车位宽度不应小于9m；其他类型汽车加油加气加氢站的车道或停车位，单车道或单车停车位宽度不应小于4m，双车道或双车停车位宽度不应小于6m。</w:t>
            </w:r>
          </w:p>
          <w:p w14:paraId="2F056653">
            <w:pPr>
              <w:keepNext w:val="0"/>
              <w:keepLines w:val="0"/>
              <w:pageBreakBefore w:val="0"/>
              <w:widowControl w:val="0"/>
              <w:numPr>
                <w:ilvl w:val="0"/>
                <w:numId w:val="2"/>
              </w:numPr>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b w:val="0"/>
                <w:bCs w:val="0"/>
                <w:color w:val="auto"/>
                <w:kern w:val="18"/>
                <w:sz w:val="21"/>
                <w:szCs w:val="21"/>
                <w:highlight w:val="none"/>
                <w:lang w:val="en-US" w:eastAsia="zh-CN" w:bidi="ar-SA"/>
              </w:rPr>
            </w:pPr>
            <w:r>
              <w:rPr>
                <w:rFonts w:ascii="Times New Roman" w:hAnsi="Times New Roman" w:eastAsia="宋体" w:cs="Times New Roman"/>
                <w:b w:val="0"/>
                <w:bCs w:val="0"/>
                <w:color w:val="auto"/>
                <w:kern w:val="18"/>
                <w:sz w:val="21"/>
                <w:szCs w:val="21"/>
                <w:highlight w:val="none"/>
                <w:lang w:val="en-US" w:eastAsia="zh-CN" w:bidi="ar-SA"/>
              </w:rPr>
              <w:t>站内的道路转弯</w:t>
            </w:r>
            <w:r>
              <w:rPr>
                <w:rFonts w:hint="eastAsia" w:ascii="Times New Roman" w:hAnsi="Times New Roman" w:eastAsia="宋体" w:cs="Times New Roman"/>
                <w:b w:val="0"/>
                <w:bCs w:val="0"/>
                <w:color w:val="auto"/>
                <w:kern w:val="18"/>
                <w:sz w:val="21"/>
                <w:szCs w:val="21"/>
                <w:highlight w:val="none"/>
                <w:lang w:val="en-US" w:eastAsia="zh-CN" w:bidi="ar-SA"/>
              </w:rPr>
              <w:t>半</w:t>
            </w:r>
            <w:r>
              <w:rPr>
                <w:rFonts w:ascii="Times New Roman" w:hAnsi="Times New Roman" w:eastAsia="宋体" w:cs="Times New Roman"/>
                <w:b w:val="0"/>
                <w:bCs w:val="0"/>
                <w:color w:val="auto"/>
                <w:kern w:val="18"/>
                <w:sz w:val="21"/>
                <w:szCs w:val="21"/>
                <w:highlight w:val="none"/>
                <w:lang w:val="en-US" w:eastAsia="zh-CN" w:bidi="ar-SA"/>
              </w:rPr>
              <w:t>径应按行驶车型确定，且不宜小</w:t>
            </w:r>
            <w:r>
              <w:rPr>
                <w:rFonts w:hint="eastAsia" w:ascii="Times New Roman" w:hAnsi="Times New Roman" w:eastAsia="宋体" w:cs="Times New Roman"/>
                <w:b w:val="0"/>
                <w:bCs w:val="0"/>
                <w:color w:val="auto"/>
                <w:kern w:val="18"/>
                <w:sz w:val="21"/>
                <w:szCs w:val="21"/>
                <w:highlight w:val="none"/>
                <w:lang w:val="en-US" w:eastAsia="zh-CN" w:bidi="ar-SA"/>
              </w:rPr>
              <w:t>于9m；</w:t>
            </w:r>
          </w:p>
          <w:p w14:paraId="6DFD5574">
            <w:pPr>
              <w:keepNext w:val="0"/>
              <w:keepLines w:val="0"/>
              <w:pageBreakBefore w:val="0"/>
              <w:widowControl w:val="0"/>
              <w:numPr>
                <w:ilvl w:val="0"/>
                <w:numId w:val="2"/>
              </w:numPr>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b w:val="0"/>
                <w:bCs w:val="0"/>
                <w:color w:val="auto"/>
                <w:kern w:val="18"/>
                <w:sz w:val="21"/>
                <w:szCs w:val="21"/>
                <w:highlight w:val="none"/>
                <w:lang w:val="en-US" w:eastAsia="zh-CN" w:bidi="ar-SA"/>
              </w:rPr>
            </w:pPr>
            <w:r>
              <w:rPr>
                <w:rFonts w:ascii="Times New Roman" w:hAnsi="Times New Roman" w:eastAsia="宋体" w:cs="Times New Roman"/>
                <w:b w:val="0"/>
                <w:bCs w:val="0"/>
                <w:color w:val="auto"/>
                <w:kern w:val="18"/>
                <w:sz w:val="21"/>
                <w:szCs w:val="21"/>
                <w:highlight w:val="none"/>
                <w:lang w:val="en-US" w:eastAsia="zh-CN" w:bidi="ar-SA"/>
              </w:rPr>
              <w:t>站内停车位应为平坡，道路坡度不应大于8%，且宜坡向站外。</w:t>
            </w:r>
          </w:p>
          <w:p w14:paraId="4F8DE2FF">
            <w:pPr>
              <w:keepNext w:val="0"/>
              <w:keepLines w:val="0"/>
              <w:pageBreakBefore w:val="0"/>
              <w:widowControl w:val="0"/>
              <w:numPr>
                <w:ilvl w:val="0"/>
                <w:numId w:val="2"/>
              </w:numPr>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b w:val="0"/>
                <w:bCs w:val="0"/>
                <w:color w:val="auto"/>
                <w:kern w:val="18"/>
                <w:sz w:val="21"/>
                <w:szCs w:val="21"/>
                <w:highlight w:val="none"/>
                <w:lang w:val="en-US" w:eastAsia="zh-CN" w:bidi="ar-SA"/>
              </w:rPr>
            </w:pPr>
            <w:r>
              <w:rPr>
                <w:rFonts w:ascii="Times New Roman" w:hAnsi="Times New Roman" w:eastAsia="宋体" w:cs="Times New Roman"/>
                <w:b w:val="0"/>
                <w:bCs w:val="0"/>
                <w:color w:val="auto"/>
                <w:kern w:val="18"/>
                <w:sz w:val="21"/>
                <w:szCs w:val="21"/>
                <w:highlight w:val="none"/>
                <w:lang w:val="en-US" w:eastAsia="zh-CN" w:bidi="ar-SA"/>
              </w:rPr>
              <w:t>作业区内的停车场和道路路面不应采用沥青路面。</w:t>
            </w:r>
          </w:p>
        </w:tc>
        <w:tc>
          <w:tcPr>
            <w:tcW w:w="1523" w:type="dxa"/>
            <w:noWrap w:val="0"/>
            <w:vAlign w:val="center"/>
          </w:tcPr>
          <w:p w14:paraId="44FFF1AA">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hint="eastAsia" w:ascii="Times New Roman" w:hAnsi="Times New Roman" w:eastAsia="宋体" w:cs="Times New Roman"/>
                <w:b w:val="0"/>
                <w:bCs w:val="0"/>
                <w:color w:val="auto"/>
                <w:kern w:val="18"/>
                <w:sz w:val="21"/>
                <w:szCs w:val="21"/>
                <w:highlight w:val="none"/>
                <w:lang w:val="en-US" w:eastAsia="zh-CN" w:bidi="ar-SA"/>
              </w:rPr>
            </w:pPr>
            <w:r>
              <w:rPr>
                <w:rFonts w:hint="default" w:ascii="Times New Roman" w:hAnsi="Times New Roman" w:eastAsia="宋体" w:cs="Times New Roman"/>
                <w:b w:val="0"/>
                <w:bCs w:val="0"/>
                <w:color w:val="auto"/>
                <w:kern w:val="18"/>
                <w:sz w:val="21"/>
                <w:szCs w:val="21"/>
                <w:highlight w:val="none"/>
                <w:lang w:val="en-US" w:eastAsia="zh-CN" w:bidi="ar-SA"/>
              </w:rPr>
              <w:t>汽车加油加气加氢站技术</w:t>
            </w:r>
            <w:r>
              <w:rPr>
                <w:rFonts w:hint="eastAsia" w:ascii="Times New Roman" w:hAnsi="Times New Roman" w:eastAsia="宋体" w:cs="Times New Roman"/>
                <w:b w:val="0"/>
                <w:bCs w:val="0"/>
                <w:color w:val="auto"/>
                <w:kern w:val="18"/>
                <w:sz w:val="21"/>
                <w:szCs w:val="21"/>
                <w:highlight w:val="none"/>
                <w:lang w:val="en-US" w:eastAsia="zh-CN" w:bidi="ar-SA"/>
              </w:rPr>
              <w:t>标准</w:t>
            </w:r>
            <w:r>
              <w:rPr>
                <w:rFonts w:hint="default" w:ascii="Times New Roman" w:hAnsi="Times New Roman" w:eastAsia="宋体" w:cs="Times New Roman"/>
                <w:b w:val="0"/>
                <w:bCs w:val="0"/>
                <w:color w:val="auto"/>
                <w:kern w:val="18"/>
                <w:sz w:val="21"/>
                <w:szCs w:val="21"/>
                <w:highlight w:val="none"/>
                <w:lang w:val="en-US" w:eastAsia="zh-CN" w:bidi="ar-SA"/>
              </w:rPr>
              <w:t>GB50156-2021</w:t>
            </w:r>
            <w:r>
              <w:rPr>
                <w:rFonts w:hint="eastAsia" w:ascii="Times New Roman" w:hAnsi="Times New Roman" w:eastAsia="宋体" w:cs="Times New Roman"/>
                <w:b w:val="0"/>
                <w:bCs w:val="0"/>
                <w:color w:val="auto"/>
                <w:kern w:val="18"/>
                <w:sz w:val="21"/>
                <w:szCs w:val="21"/>
                <w:highlight w:val="none"/>
                <w:lang w:val="en-US" w:eastAsia="zh-CN" w:bidi="ar-SA"/>
              </w:rPr>
              <w:t>第</w:t>
            </w:r>
            <w:r>
              <w:rPr>
                <w:rFonts w:ascii="Times New Roman" w:hAnsi="Times New Roman" w:eastAsia="宋体" w:cs="Times New Roman"/>
                <w:b w:val="0"/>
                <w:bCs w:val="0"/>
                <w:color w:val="auto"/>
                <w:kern w:val="18"/>
                <w:sz w:val="21"/>
                <w:szCs w:val="21"/>
                <w:highlight w:val="none"/>
                <w:lang w:val="en-US" w:eastAsia="zh-CN" w:bidi="ar-SA"/>
              </w:rPr>
              <w:t>5.0.2</w:t>
            </w:r>
            <w:r>
              <w:rPr>
                <w:rFonts w:hint="eastAsia" w:ascii="Times New Roman" w:hAnsi="Times New Roman" w:eastAsia="宋体" w:cs="Times New Roman"/>
                <w:b w:val="0"/>
                <w:bCs w:val="0"/>
                <w:color w:val="auto"/>
                <w:kern w:val="18"/>
                <w:sz w:val="21"/>
                <w:szCs w:val="21"/>
                <w:highlight w:val="none"/>
                <w:lang w:val="en-US" w:eastAsia="zh-CN" w:bidi="ar-SA"/>
              </w:rPr>
              <w:t>条</w:t>
            </w:r>
          </w:p>
        </w:tc>
        <w:tc>
          <w:tcPr>
            <w:tcW w:w="1601" w:type="dxa"/>
            <w:noWrap w:val="0"/>
            <w:vAlign w:val="center"/>
          </w:tcPr>
          <w:p w14:paraId="264EEED7">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b w:val="0"/>
                <w:bCs w:val="0"/>
                <w:color w:val="auto"/>
                <w:kern w:val="18"/>
                <w:sz w:val="21"/>
                <w:szCs w:val="21"/>
                <w:highlight w:val="none"/>
                <w:lang w:val="en-US" w:eastAsia="zh-CN" w:bidi="ar-SA"/>
              </w:rPr>
            </w:pPr>
            <w:r>
              <w:rPr>
                <w:rFonts w:ascii="Times New Roman" w:hAnsi="Times New Roman" w:eastAsia="宋体" w:cs="Times New Roman"/>
                <w:b w:val="0"/>
                <w:bCs w:val="0"/>
                <w:color w:val="auto"/>
                <w:kern w:val="18"/>
                <w:sz w:val="21"/>
                <w:szCs w:val="21"/>
                <w:highlight w:val="none"/>
                <w:lang w:val="en-US" w:eastAsia="zh-CN" w:bidi="ar-SA"/>
              </w:rPr>
              <w:t>单车道宽度不小于</w:t>
            </w:r>
            <w:r>
              <w:rPr>
                <w:rFonts w:hint="eastAsia" w:ascii="Times New Roman" w:hAnsi="Times New Roman" w:eastAsia="宋体" w:cs="Times New Roman"/>
                <w:b w:val="0"/>
                <w:bCs w:val="0"/>
                <w:color w:val="auto"/>
                <w:kern w:val="18"/>
                <w:sz w:val="21"/>
                <w:szCs w:val="21"/>
                <w:highlight w:val="none"/>
                <w:lang w:val="en-US" w:eastAsia="zh-CN" w:bidi="ar-SA"/>
              </w:rPr>
              <w:t>6</w:t>
            </w:r>
            <w:r>
              <w:rPr>
                <w:rFonts w:ascii="Times New Roman" w:hAnsi="Times New Roman" w:eastAsia="宋体" w:cs="Times New Roman"/>
                <w:b w:val="0"/>
                <w:bCs w:val="0"/>
                <w:color w:val="auto"/>
                <w:kern w:val="18"/>
                <w:sz w:val="21"/>
                <w:szCs w:val="21"/>
                <w:highlight w:val="none"/>
                <w:lang w:val="en-US" w:eastAsia="zh-CN" w:bidi="ar-SA"/>
              </w:rPr>
              <w:t>m，转弯半径不小于9m；站内采用</w:t>
            </w:r>
            <w:r>
              <w:rPr>
                <w:rFonts w:hint="eastAsia" w:ascii="Times New Roman" w:hAnsi="Times New Roman" w:eastAsia="宋体" w:cs="Times New Roman"/>
                <w:b w:val="0"/>
                <w:bCs w:val="0"/>
                <w:color w:val="auto"/>
                <w:kern w:val="18"/>
                <w:sz w:val="21"/>
                <w:szCs w:val="21"/>
                <w:highlight w:val="none"/>
                <w:lang w:val="en-US" w:eastAsia="zh-CN" w:bidi="ar-SA"/>
              </w:rPr>
              <w:t>混凝土</w:t>
            </w:r>
            <w:r>
              <w:rPr>
                <w:rFonts w:ascii="Times New Roman" w:hAnsi="Times New Roman" w:eastAsia="宋体" w:cs="Times New Roman"/>
                <w:b w:val="0"/>
                <w:bCs w:val="0"/>
                <w:color w:val="auto"/>
                <w:kern w:val="18"/>
                <w:sz w:val="21"/>
                <w:szCs w:val="21"/>
                <w:highlight w:val="none"/>
                <w:lang w:val="en-US" w:eastAsia="zh-CN" w:bidi="ar-SA"/>
              </w:rPr>
              <w:t>路面。</w:t>
            </w:r>
          </w:p>
        </w:tc>
        <w:tc>
          <w:tcPr>
            <w:tcW w:w="716" w:type="dxa"/>
            <w:noWrap w:val="0"/>
            <w:vAlign w:val="center"/>
          </w:tcPr>
          <w:p w14:paraId="440EE63E">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b w:val="0"/>
                <w:bCs w:val="0"/>
                <w:color w:val="auto"/>
                <w:kern w:val="18"/>
                <w:sz w:val="21"/>
                <w:szCs w:val="21"/>
                <w:highlight w:val="none"/>
                <w:lang w:val="en-US" w:eastAsia="zh-CN" w:bidi="ar-SA"/>
              </w:rPr>
            </w:pPr>
            <w:r>
              <w:rPr>
                <w:rFonts w:ascii="Times New Roman" w:hAnsi="Times New Roman" w:eastAsia="宋体" w:cs="Times New Roman"/>
                <w:b w:val="0"/>
                <w:bCs w:val="0"/>
                <w:color w:val="auto"/>
                <w:kern w:val="18"/>
                <w:sz w:val="21"/>
                <w:szCs w:val="21"/>
                <w:highlight w:val="none"/>
                <w:lang w:val="en-US" w:eastAsia="zh-CN" w:bidi="ar-SA"/>
              </w:rPr>
              <w:t>合格</w:t>
            </w:r>
          </w:p>
        </w:tc>
      </w:tr>
      <w:tr w14:paraId="1967A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435" w:type="dxa"/>
            <w:noWrap w:val="0"/>
            <w:vAlign w:val="center"/>
          </w:tcPr>
          <w:p w14:paraId="26214C64">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ascii="Times New Roman" w:hAnsi="Times New Roman" w:eastAsia="宋体" w:cs="Times New Roman"/>
                <w:color w:val="auto"/>
                <w:kern w:val="18"/>
                <w:sz w:val="21"/>
                <w:szCs w:val="21"/>
                <w:highlight w:val="none"/>
                <w:lang w:val="en-US" w:eastAsia="zh-CN" w:bidi="ar-SA"/>
              </w:rPr>
              <w:t>3</w:t>
            </w:r>
          </w:p>
        </w:tc>
        <w:tc>
          <w:tcPr>
            <w:tcW w:w="4846" w:type="dxa"/>
            <w:noWrap w:val="0"/>
            <w:vAlign w:val="center"/>
          </w:tcPr>
          <w:p w14:paraId="2F761E64">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rFonts w:ascii="Times New Roman" w:hAnsi="Times New Roman" w:eastAsia="宋体" w:cs="Times New Roman"/>
                <w:color w:val="auto"/>
                <w:kern w:val="18"/>
                <w:sz w:val="21"/>
                <w:szCs w:val="21"/>
                <w:highlight w:val="none"/>
                <w:lang w:val="en-US" w:eastAsia="zh-CN" w:bidi="ar-SA"/>
              </w:rPr>
              <w:t>加油加气加氢</w:t>
            </w:r>
            <w:r>
              <w:rPr>
                <w:rFonts w:hint="eastAsia" w:ascii="宋体" w:hAnsi="宋体" w:eastAsia="宋体" w:cs="宋体"/>
                <w:color w:val="auto"/>
                <w:kern w:val="18"/>
                <w:sz w:val="21"/>
                <w:szCs w:val="21"/>
                <w:highlight w:val="none"/>
                <w:lang w:val="en-US" w:eastAsia="zh-CN" w:bidi="ar-SA"/>
              </w:rPr>
              <w:t>站作业区内，不得有“明火地点”或“散发火花地点”。</w:t>
            </w:r>
          </w:p>
        </w:tc>
        <w:tc>
          <w:tcPr>
            <w:tcW w:w="1523" w:type="dxa"/>
            <w:noWrap w:val="0"/>
            <w:vAlign w:val="center"/>
          </w:tcPr>
          <w:p w14:paraId="4A667096">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汽车加油加气加氢站技术</w:t>
            </w:r>
            <w:r>
              <w:rPr>
                <w:rFonts w:hint="eastAsia" w:ascii="Times New Roman" w:hAnsi="Times New Roman" w:eastAsia="宋体" w:cs="Times New Roman"/>
                <w:color w:val="auto"/>
                <w:kern w:val="18"/>
                <w:sz w:val="21"/>
                <w:szCs w:val="21"/>
                <w:highlight w:val="none"/>
                <w:lang w:val="en-US" w:eastAsia="zh-CN" w:bidi="ar-SA"/>
              </w:rPr>
              <w:t>标准</w:t>
            </w:r>
            <w:r>
              <w:rPr>
                <w:rFonts w:hint="default" w:ascii="Times New Roman" w:hAnsi="Times New Roman" w:eastAsia="宋体" w:cs="Times New Roman"/>
                <w:color w:val="auto"/>
                <w:kern w:val="18"/>
                <w:sz w:val="21"/>
                <w:szCs w:val="21"/>
                <w:highlight w:val="none"/>
                <w:lang w:val="en-US" w:eastAsia="zh-CN" w:bidi="ar-SA"/>
              </w:rPr>
              <w:t>GB50156-2021</w:t>
            </w:r>
            <w:r>
              <w:rPr>
                <w:rFonts w:hint="eastAsia" w:ascii="Times New Roman" w:hAnsi="Times New Roman" w:eastAsia="宋体" w:cs="Times New Roman"/>
                <w:color w:val="auto"/>
                <w:kern w:val="18"/>
                <w:sz w:val="21"/>
                <w:szCs w:val="21"/>
                <w:highlight w:val="none"/>
                <w:lang w:val="en-US" w:eastAsia="zh-CN" w:bidi="ar-SA"/>
              </w:rPr>
              <w:t>第</w:t>
            </w:r>
            <w:r>
              <w:rPr>
                <w:rFonts w:ascii="Times New Roman" w:hAnsi="Times New Roman" w:eastAsia="宋体" w:cs="Times New Roman"/>
                <w:color w:val="auto"/>
                <w:kern w:val="18"/>
                <w:sz w:val="21"/>
                <w:szCs w:val="21"/>
                <w:highlight w:val="none"/>
                <w:lang w:val="en-US" w:eastAsia="zh-CN" w:bidi="ar-SA"/>
              </w:rPr>
              <w:t>5.0.5</w:t>
            </w:r>
            <w:r>
              <w:rPr>
                <w:rFonts w:hint="eastAsia" w:ascii="Times New Roman" w:hAnsi="Times New Roman" w:eastAsia="宋体" w:cs="Times New Roman"/>
                <w:color w:val="auto"/>
                <w:kern w:val="18"/>
                <w:sz w:val="21"/>
                <w:szCs w:val="21"/>
                <w:highlight w:val="none"/>
                <w:lang w:val="en-US" w:eastAsia="zh-CN" w:bidi="ar-SA"/>
              </w:rPr>
              <w:t>条</w:t>
            </w:r>
          </w:p>
        </w:tc>
        <w:tc>
          <w:tcPr>
            <w:tcW w:w="1601" w:type="dxa"/>
            <w:noWrap w:val="0"/>
            <w:vAlign w:val="center"/>
          </w:tcPr>
          <w:p w14:paraId="487A9FC1">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ascii="Times New Roman" w:hAnsi="Times New Roman" w:eastAsia="宋体" w:cs="Times New Roman"/>
                <w:color w:val="auto"/>
                <w:kern w:val="18"/>
                <w:sz w:val="21"/>
                <w:szCs w:val="21"/>
                <w:highlight w:val="none"/>
                <w:lang w:val="en-US" w:eastAsia="zh-CN" w:bidi="ar-SA"/>
              </w:rPr>
              <w:t>站内</w:t>
            </w:r>
            <w:r>
              <w:rPr>
                <w:rFonts w:hint="eastAsia" w:ascii="宋体" w:hAnsi="宋体" w:eastAsia="宋体" w:cs="宋体"/>
                <w:color w:val="auto"/>
                <w:kern w:val="18"/>
                <w:sz w:val="21"/>
                <w:szCs w:val="21"/>
                <w:highlight w:val="none"/>
                <w:lang w:val="en-US" w:eastAsia="zh-CN" w:bidi="ar-SA"/>
              </w:rPr>
              <w:t>不存在“明火地点”或“散发火花地点”</w:t>
            </w:r>
            <w:r>
              <w:rPr>
                <w:rFonts w:ascii="Times New Roman" w:hAnsi="Times New Roman" w:eastAsia="宋体" w:cs="Times New Roman"/>
                <w:color w:val="auto"/>
                <w:kern w:val="18"/>
                <w:sz w:val="21"/>
                <w:szCs w:val="21"/>
                <w:highlight w:val="none"/>
                <w:lang w:val="en-US" w:eastAsia="zh-CN" w:bidi="ar-SA"/>
              </w:rPr>
              <w:t>。</w:t>
            </w:r>
          </w:p>
        </w:tc>
        <w:tc>
          <w:tcPr>
            <w:tcW w:w="716" w:type="dxa"/>
            <w:noWrap w:val="0"/>
            <w:vAlign w:val="center"/>
          </w:tcPr>
          <w:p w14:paraId="1688A311">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ascii="Times New Roman" w:hAnsi="Times New Roman" w:eastAsia="宋体" w:cs="Times New Roman"/>
                <w:color w:val="auto"/>
                <w:kern w:val="18"/>
                <w:sz w:val="21"/>
                <w:szCs w:val="21"/>
                <w:highlight w:val="none"/>
                <w:lang w:val="en-US" w:eastAsia="zh-CN" w:bidi="ar-SA"/>
              </w:rPr>
              <w:t>合格</w:t>
            </w:r>
          </w:p>
        </w:tc>
      </w:tr>
      <w:tr w14:paraId="3166B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435" w:type="dxa"/>
            <w:noWrap w:val="0"/>
            <w:vAlign w:val="center"/>
          </w:tcPr>
          <w:p w14:paraId="2798346B">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ascii="Times New Roman" w:hAnsi="Times New Roman" w:eastAsia="宋体" w:cs="Times New Roman"/>
                <w:color w:val="auto"/>
                <w:kern w:val="18"/>
                <w:sz w:val="21"/>
                <w:szCs w:val="21"/>
                <w:highlight w:val="none"/>
                <w:lang w:val="en-US" w:eastAsia="zh-CN" w:bidi="ar-SA"/>
              </w:rPr>
              <w:t>4</w:t>
            </w:r>
          </w:p>
        </w:tc>
        <w:tc>
          <w:tcPr>
            <w:tcW w:w="4846" w:type="dxa"/>
            <w:noWrap w:val="0"/>
            <w:vAlign w:val="center"/>
          </w:tcPr>
          <w:p w14:paraId="38C47D85">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rFonts w:ascii="Times New Roman" w:hAnsi="Times New Roman" w:eastAsia="宋体" w:cs="Times New Roman"/>
                <w:color w:val="auto"/>
                <w:kern w:val="18"/>
                <w:sz w:val="21"/>
                <w:szCs w:val="21"/>
                <w:highlight w:val="none"/>
                <w:lang w:val="en-US" w:eastAsia="zh-CN" w:bidi="ar-SA"/>
              </w:rPr>
              <w:t>加油加气加氢站的变配电间或室外变压器应布置在作业区之外。变配电间的起算点应为门窗等洞口。</w:t>
            </w:r>
          </w:p>
        </w:tc>
        <w:tc>
          <w:tcPr>
            <w:tcW w:w="1523" w:type="dxa"/>
            <w:noWrap w:val="0"/>
            <w:vAlign w:val="center"/>
          </w:tcPr>
          <w:p w14:paraId="307ED0C4">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汽车加油加气加氢站技术</w:t>
            </w:r>
            <w:r>
              <w:rPr>
                <w:rFonts w:hint="eastAsia" w:ascii="Times New Roman" w:hAnsi="Times New Roman" w:eastAsia="宋体" w:cs="Times New Roman"/>
                <w:color w:val="auto"/>
                <w:kern w:val="18"/>
                <w:sz w:val="21"/>
                <w:szCs w:val="21"/>
                <w:highlight w:val="none"/>
                <w:lang w:val="en-US" w:eastAsia="zh-CN" w:bidi="ar-SA"/>
              </w:rPr>
              <w:t>标准</w:t>
            </w:r>
            <w:r>
              <w:rPr>
                <w:rFonts w:hint="default" w:ascii="Times New Roman" w:hAnsi="Times New Roman" w:eastAsia="宋体" w:cs="Times New Roman"/>
                <w:color w:val="auto"/>
                <w:kern w:val="18"/>
                <w:sz w:val="21"/>
                <w:szCs w:val="21"/>
                <w:highlight w:val="none"/>
                <w:lang w:val="en-US" w:eastAsia="zh-CN" w:bidi="ar-SA"/>
              </w:rPr>
              <w:t>GB50156-2021</w:t>
            </w:r>
            <w:r>
              <w:rPr>
                <w:rFonts w:hint="eastAsia" w:ascii="Times New Roman" w:hAnsi="Times New Roman" w:eastAsia="宋体" w:cs="Times New Roman"/>
                <w:color w:val="auto"/>
                <w:kern w:val="18"/>
                <w:sz w:val="21"/>
                <w:szCs w:val="21"/>
                <w:highlight w:val="none"/>
                <w:lang w:val="en-US" w:eastAsia="zh-CN" w:bidi="ar-SA"/>
              </w:rPr>
              <w:t>第</w:t>
            </w:r>
            <w:r>
              <w:rPr>
                <w:rFonts w:ascii="Times New Roman" w:hAnsi="Times New Roman" w:eastAsia="宋体" w:cs="Times New Roman"/>
                <w:color w:val="auto"/>
                <w:kern w:val="18"/>
                <w:sz w:val="21"/>
                <w:szCs w:val="21"/>
                <w:highlight w:val="none"/>
                <w:lang w:val="en-US" w:eastAsia="zh-CN" w:bidi="ar-SA"/>
              </w:rPr>
              <w:t>5.0.8</w:t>
            </w:r>
            <w:r>
              <w:rPr>
                <w:rFonts w:hint="eastAsia" w:ascii="Times New Roman" w:hAnsi="Times New Roman" w:eastAsia="宋体" w:cs="Times New Roman"/>
                <w:color w:val="auto"/>
                <w:kern w:val="18"/>
                <w:sz w:val="21"/>
                <w:szCs w:val="21"/>
                <w:highlight w:val="none"/>
                <w:lang w:val="en-US" w:eastAsia="zh-CN" w:bidi="ar-SA"/>
              </w:rPr>
              <w:t>条</w:t>
            </w:r>
          </w:p>
        </w:tc>
        <w:tc>
          <w:tcPr>
            <w:tcW w:w="1601" w:type="dxa"/>
            <w:noWrap w:val="0"/>
            <w:vAlign w:val="center"/>
          </w:tcPr>
          <w:p w14:paraId="2329E0A1">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ascii="Times New Roman" w:hAnsi="Times New Roman" w:eastAsia="宋体" w:cs="Times New Roman"/>
                <w:color w:val="auto"/>
                <w:kern w:val="18"/>
                <w:sz w:val="21"/>
                <w:szCs w:val="21"/>
                <w:highlight w:val="none"/>
                <w:lang w:val="en-US" w:eastAsia="zh-CN" w:bidi="ar-SA"/>
              </w:rPr>
              <w:t>布置在作业区之外。</w:t>
            </w:r>
          </w:p>
        </w:tc>
        <w:tc>
          <w:tcPr>
            <w:tcW w:w="716" w:type="dxa"/>
            <w:noWrap w:val="0"/>
            <w:vAlign w:val="center"/>
          </w:tcPr>
          <w:p w14:paraId="0200B08B">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ascii="Times New Roman" w:hAnsi="Times New Roman" w:eastAsia="宋体" w:cs="Times New Roman"/>
                <w:color w:val="auto"/>
                <w:kern w:val="18"/>
                <w:sz w:val="21"/>
                <w:szCs w:val="21"/>
                <w:highlight w:val="none"/>
                <w:lang w:val="en-US" w:eastAsia="zh-CN" w:bidi="ar-SA"/>
              </w:rPr>
              <w:t>合格</w:t>
            </w:r>
          </w:p>
        </w:tc>
      </w:tr>
      <w:tr w14:paraId="2D90E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435" w:type="dxa"/>
            <w:noWrap w:val="0"/>
            <w:vAlign w:val="center"/>
          </w:tcPr>
          <w:p w14:paraId="0FCFA52F">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ascii="Times New Roman" w:hAnsi="Times New Roman" w:eastAsia="宋体" w:cs="Times New Roman"/>
                <w:color w:val="auto"/>
                <w:kern w:val="18"/>
                <w:sz w:val="21"/>
                <w:szCs w:val="21"/>
                <w:highlight w:val="none"/>
                <w:lang w:val="en-US" w:eastAsia="zh-CN" w:bidi="ar-SA"/>
              </w:rPr>
              <w:t>5</w:t>
            </w:r>
          </w:p>
        </w:tc>
        <w:tc>
          <w:tcPr>
            <w:tcW w:w="4846" w:type="dxa"/>
            <w:noWrap w:val="0"/>
            <w:vAlign w:val="center"/>
          </w:tcPr>
          <w:p w14:paraId="0E0EE1D4">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rFonts w:ascii="Times New Roman" w:hAnsi="Times New Roman" w:eastAsia="宋体" w:cs="Times New Roman"/>
                <w:color w:val="auto"/>
                <w:kern w:val="18"/>
                <w:sz w:val="21"/>
                <w:szCs w:val="21"/>
                <w:highlight w:val="none"/>
                <w:lang w:val="en-US" w:eastAsia="zh-CN" w:bidi="ar-SA"/>
              </w:rPr>
              <w:t>站房不应布置在爆炸危险区域。站房部分位于作业区内时，建筑面积等应符合本标准第14.2.10条的规定。</w:t>
            </w:r>
          </w:p>
        </w:tc>
        <w:tc>
          <w:tcPr>
            <w:tcW w:w="1523" w:type="dxa"/>
            <w:noWrap w:val="0"/>
            <w:vAlign w:val="center"/>
          </w:tcPr>
          <w:p w14:paraId="6A1DB4FD">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汽车加油加气加氢站技术</w:t>
            </w:r>
            <w:r>
              <w:rPr>
                <w:rFonts w:hint="eastAsia" w:ascii="Times New Roman" w:hAnsi="Times New Roman" w:eastAsia="宋体" w:cs="Times New Roman"/>
                <w:color w:val="auto"/>
                <w:kern w:val="18"/>
                <w:sz w:val="21"/>
                <w:szCs w:val="21"/>
                <w:highlight w:val="none"/>
                <w:lang w:val="en-US" w:eastAsia="zh-CN" w:bidi="ar-SA"/>
              </w:rPr>
              <w:t>标准</w:t>
            </w:r>
            <w:r>
              <w:rPr>
                <w:rFonts w:hint="default" w:ascii="Times New Roman" w:hAnsi="Times New Roman" w:eastAsia="宋体" w:cs="Times New Roman"/>
                <w:color w:val="auto"/>
                <w:kern w:val="18"/>
                <w:sz w:val="21"/>
                <w:szCs w:val="21"/>
                <w:highlight w:val="none"/>
                <w:lang w:val="en-US" w:eastAsia="zh-CN" w:bidi="ar-SA"/>
              </w:rPr>
              <w:t>GB50156-2021</w:t>
            </w:r>
            <w:r>
              <w:rPr>
                <w:rFonts w:hint="eastAsia" w:ascii="Times New Roman" w:hAnsi="Times New Roman" w:eastAsia="宋体" w:cs="Times New Roman"/>
                <w:color w:val="auto"/>
                <w:kern w:val="18"/>
                <w:sz w:val="21"/>
                <w:szCs w:val="21"/>
                <w:highlight w:val="none"/>
                <w:lang w:val="en-US" w:eastAsia="zh-CN" w:bidi="ar-SA"/>
              </w:rPr>
              <w:t>第</w:t>
            </w:r>
            <w:r>
              <w:rPr>
                <w:rFonts w:ascii="Times New Roman" w:hAnsi="Times New Roman" w:eastAsia="宋体" w:cs="Times New Roman"/>
                <w:color w:val="auto"/>
                <w:kern w:val="18"/>
                <w:sz w:val="21"/>
                <w:szCs w:val="21"/>
                <w:highlight w:val="none"/>
                <w:lang w:val="en-US" w:eastAsia="zh-CN" w:bidi="ar-SA"/>
              </w:rPr>
              <w:t>5.0.9</w:t>
            </w:r>
            <w:r>
              <w:rPr>
                <w:rFonts w:hint="eastAsia" w:ascii="Times New Roman" w:hAnsi="Times New Roman" w:eastAsia="宋体" w:cs="Times New Roman"/>
                <w:color w:val="auto"/>
                <w:kern w:val="18"/>
                <w:sz w:val="21"/>
                <w:szCs w:val="21"/>
                <w:highlight w:val="none"/>
                <w:lang w:val="en-US" w:eastAsia="zh-CN" w:bidi="ar-SA"/>
              </w:rPr>
              <w:t>条</w:t>
            </w:r>
          </w:p>
        </w:tc>
        <w:tc>
          <w:tcPr>
            <w:tcW w:w="1601" w:type="dxa"/>
            <w:noWrap w:val="0"/>
            <w:vAlign w:val="center"/>
          </w:tcPr>
          <w:p w14:paraId="67FF6152">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柴油不涉及爆炸危险区域。</w:t>
            </w:r>
          </w:p>
        </w:tc>
        <w:tc>
          <w:tcPr>
            <w:tcW w:w="716" w:type="dxa"/>
            <w:noWrap w:val="0"/>
            <w:vAlign w:val="center"/>
          </w:tcPr>
          <w:p w14:paraId="359D6E77">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ascii="Times New Roman" w:hAnsi="Times New Roman" w:eastAsia="宋体" w:cs="Times New Roman"/>
                <w:color w:val="auto"/>
                <w:kern w:val="18"/>
                <w:sz w:val="21"/>
                <w:szCs w:val="21"/>
                <w:highlight w:val="none"/>
                <w:lang w:val="en-US" w:eastAsia="zh-CN" w:bidi="ar-SA"/>
              </w:rPr>
              <w:t>合格</w:t>
            </w:r>
          </w:p>
        </w:tc>
      </w:tr>
      <w:tr w14:paraId="675FA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435" w:type="dxa"/>
            <w:noWrap w:val="0"/>
            <w:vAlign w:val="center"/>
          </w:tcPr>
          <w:p w14:paraId="67B11A84">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ascii="Times New Roman" w:hAnsi="Times New Roman" w:eastAsia="宋体" w:cs="Times New Roman"/>
                <w:color w:val="auto"/>
                <w:kern w:val="18"/>
                <w:sz w:val="21"/>
                <w:szCs w:val="21"/>
                <w:highlight w:val="none"/>
                <w:lang w:val="en-US" w:eastAsia="zh-CN" w:bidi="ar-SA"/>
              </w:rPr>
              <w:t>6</w:t>
            </w:r>
          </w:p>
        </w:tc>
        <w:tc>
          <w:tcPr>
            <w:tcW w:w="4846" w:type="dxa"/>
            <w:noWrap w:val="0"/>
            <w:vAlign w:val="center"/>
          </w:tcPr>
          <w:p w14:paraId="74579925">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rFonts w:ascii="Times New Roman" w:hAnsi="Times New Roman" w:eastAsia="宋体" w:cs="Times New Roman"/>
                <w:color w:val="auto"/>
                <w:kern w:val="18"/>
                <w:sz w:val="21"/>
                <w:szCs w:val="21"/>
                <w:highlight w:val="none"/>
                <w:lang w:val="en-US" w:eastAsia="zh-CN" w:bidi="ar-SA"/>
              </w:rPr>
              <w:t>汽车加油加气加氢站内的爆炸危险区域，不应超出站区围墙和可用地界线。</w:t>
            </w:r>
          </w:p>
        </w:tc>
        <w:tc>
          <w:tcPr>
            <w:tcW w:w="1523" w:type="dxa"/>
            <w:noWrap w:val="0"/>
            <w:vAlign w:val="center"/>
          </w:tcPr>
          <w:p w14:paraId="45A85F49">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汽车加油加气加氢站技术</w:t>
            </w:r>
            <w:r>
              <w:rPr>
                <w:rFonts w:hint="eastAsia" w:ascii="Times New Roman" w:hAnsi="Times New Roman" w:eastAsia="宋体" w:cs="Times New Roman"/>
                <w:color w:val="auto"/>
                <w:kern w:val="18"/>
                <w:sz w:val="21"/>
                <w:szCs w:val="21"/>
                <w:highlight w:val="none"/>
                <w:lang w:val="en-US" w:eastAsia="zh-CN" w:bidi="ar-SA"/>
              </w:rPr>
              <w:t>标准</w:t>
            </w:r>
            <w:r>
              <w:rPr>
                <w:rFonts w:hint="default" w:ascii="Times New Roman" w:hAnsi="Times New Roman" w:eastAsia="宋体" w:cs="Times New Roman"/>
                <w:color w:val="auto"/>
                <w:kern w:val="18"/>
                <w:sz w:val="21"/>
                <w:szCs w:val="21"/>
                <w:highlight w:val="none"/>
                <w:lang w:val="en-US" w:eastAsia="zh-CN" w:bidi="ar-SA"/>
              </w:rPr>
              <w:t>GB50156-2021</w:t>
            </w:r>
          </w:p>
          <w:p w14:paraId="1A963B84">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ascii="Times New Roman" w:hAnsi="Times New Roman" w:eastAsia="宋体" w:cs="Times New Roman"/>
                <w:color w:val="auto"/>
                <w:kern w:val="18"/>
                <w:sz w:val="21"/>
                <w:szCs w:val="21"/>
                <w:highlight w:val="none"/>
                <w:lang w:val="en-US" w:eastAsia="zh-CN" w:bidi="ar-SA"/>
              </w:rPr>
              <w:t>5.0.11</w:t>
            </w:r>
            <w:r>
              <w:rPr>
                <w:rFonts w:hint="eastAsia" w:ascii="Times New Roman" w:hAnsi="Times New Roman" w:eastAsia="宋体" w:cs="Times New Roman"/>
                <w:color w:val="auto"/>
                <w:kern w:val="18"/>
                <w:sz w:val="21"/>
                <w:szCs w:val="21"/>
                <w:highlight w:val="none"/>
                <w:lang w:val="en-US" w:eastAsia="zh-CN" w:bidi="ar-SA"/>
              </w:rPr>
              <w:t>条</w:t>
            </w:r>
          </w:p>
        </w:tc>
        <w:tc>
          <w:tcPr>
            <w:tcW w:w="1601" w:type="dxa"/>
            <w:noWrap w:val="0"/>
            <w:vAlign w:val="center"/>
          </w:tcPr>
          <w:p w14:paraId="7CED7093">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柴油不涉及爆炸危险区域。</w:t>
            </w:r>
          </w:p>
        </w:tc>
        <w:tc>
          <w:tcPr>
            <w:tcW w:w="716" w:type="dxa"/>
            <w:noWrap w:val="0"/>
            <w:vAlign w:val="center"/>
          </w:tcPr>
          <w:p w14:paraId="2458F9F7">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ascii="Times New Roman" w:hAnsi="Times New Roman" w:eastAsia="宋体" w:cs="Times New Roman"/>
                <w:color w:val="auto"/>
                <w:kern w:val="18"/>
                <w:sz w:val="21"/>
                <w:szCs w:val="21"/>
                <w:highlight w:val="none"/>
                <w:lang w:val="en-US" w:eastAsia="zh-CN" w:bidi="ar-SA"/>
              </w:rPr>
              <w:t>合格</w:t>
            </w:r>
          </w:p>
        </w:tc>
      </w:tr>
      <w:tr w14:paraId="68C02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435" w:type="dxa"/>
            <w:noWrap w:val="0"/>
            <w:vAlign w:val="center"/>
          </w:tcPr>
          <w:p w14:paraId="57683EE9">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7</w:t>
            </w:r>
          </w:p>
        </w:tc>
        <w:tc>
          <w:tcPr>
            <w:tcW w:w="4846" w:type="dxa"/>
            <w:noWrap w:val="0"/>
            <w:vAlign w:val="center"/>
          </w:tcPr>
          <w:p w14:paraId="19BDEDCC">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rFonts w:ascii="Times New Roman" w:hAnsi="Times New Roman" w:eastAsia="宋体" w:cs="Times New Roman"/>
                <w:color w:val="auto"/>
                <w:kern w:val="18"/>
                <w:sz w:val="21"/>
                <w:szCs w:val="21"/>
                <w:highlight w:val="none"/>
                <w:lang w:val="en-US" w:eastAsia="zh-CN" w:bidi="ar-SA"/>
              </w:rPr>
              <w:t>加油站内设施之间的防火间距，不应小于表5.0.13-1的规定。</w:t>
            </w:r>
          </w:p>
        </w:tc>
        <w:tc>
          <w:tcPr>
            <w:tcW w:w="1523" w:type="dxa"/>
            <w:noWrap w:val="0"/>
            <w:vAlign w:val="center"/>
          </w:tcPr>
          <w:p w14:paraId="4E03705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汽车加油加气加氢站技术</w:t>
            </w:r>
            <w:r>
              <w:rPr>
                <w:rFonts w:hint="eastAsia" w:ascii="Times New Roman" w:hAnsi="Times New Roman" w:eastAsia="宋体" w:cs="Times New Roman"/>
                <w:color w:val="auto"/>
                <w:kern w:val="18"/>
                <w:sz w:val="21"/>
                <w:szCs w:val="21"/>
                <w:highlight w:val="none"/>
                <w:lang w:val="en-US" w:eastAsia="zh-CN" w:bidi="ar-SA"/>
              </w:rPr>
              <w:t>标准</w:t>
            </w:r>
            <w:r>
              <w:rPr>
                <w:rFonts w:hint="default" w:ascii="Times New Roman" w:hAnsi="Times New Roman" w:eastAsia="宋体" w:cs="Times New Roman"/>
                <w:color w:val="auto"/>
                <w:kern w:val="18"/>
                <w:sz w:val="21"/>
                <w:szCs w:val="21"/>
                <w:highlight w:val="none"/>
                <w:lang w:val="en-US" w:eastAsia="zh-CN" w:bidi="ar-SA"/>
              </w:rPr>
              <w:t>GB50156-2021</w:t>
            </w:r>
          </w:p>
          <w:p w14:paraId="756C9889">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w:t>
            </w:r>
            <w:r>
              <w:rPr>
                <w:rFonts w:ascii="Times New Roman" w:hAnsi="Times New Roman" w:eastAsia="宋体" w:cs="Times New Roman"/>
                <w:color w:val="auto"/>
                <w:kern w:val="18"/>
                <w:sz w:val="21"/>
                <w:szCs w:val="21"/>
                <w:highlight w:val="none"/>
                <w:lang w:val="en-US" w:eastAsia="zh-CN" w:bidi="ar-SA"/>
              </w:rPr>
              <w:t>5.0.13</w:t>
            </w:r>
            <w:r>
              <w:rPr>
                <w:rFonts w:hint="eastAsia" w:ascii="Times New Roman" w:hAnsi="Times New Roman" w:eastAsia="宋体" w:cs="Times New Roman"/>
                <w:color w:val="auto"/>
                <w:kern w:val="18"/>
                <w:sz w:val="21"/>
                <w:szCs w:val="21"/>
                <w:highlight w:val="none"/>
                <w:lang w:val="en-US" w:eastAsia="zh-CN" w:bidi="ar-SA"/>
              </w:rPr>
              <w:t>条</w:t>
            </w:r>
          </w:p>
        </w:tc>
        <w:tc>
          <w:tcPr>
            <w:tcW w:w="1601" w:type="dxa"/>
            <w:noWrap w:val="0"/>
            <w:vAlign w:val="center"/>
          </w:tcPr>
          <w:p w14:paraId="1F0BEDA6">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ascii="Times New Roman" w:hAnsi="Times New Roman" w:eastAsia="宋体" w:cs="Times New Roman"/>
                <w:color w:val="auto"/>
                <w:kern w:val="18"/>
                <w:sz w:val="21"/>
                <w:szCs w:val="21"/>
                <w:highlight w:val="none"/>
                <w:lang w:val="en-US" w:eastAsia="zh-CN" w:bidi="ar-SA"/>
              </w:rPr>
              <w:t>见本报告表</w:t>
            </w:r>
            <w:r>
              <w:rPr>
                <w:rFonts w:hint="eastAsia" w:ascii="Times New Roman" w:hAnsi="Times New Roman" w:eastAsia="宋体" w:cs="Times New Roman"/>
                <w:color w:val="auto"/>
                <w:kern w:val="18"/>
                <w:sz w:val="21"/>
                <w:szCs w:val="21"/>
                <w:highlight w:val="none"/>
                <w:lang w:val="en-US" w:eastAsia="zh-CN" w:bidi="ar-SA"/>
              </w:rPr>
              <w:t>2.</w:t>
            </w:r>
            <w:r>
              <w:rPr>
                <w:rFonts w:ascii="Times New Roman" w:hAnsi="Times New Roman" w:eastAsia="宋体" w:cs="Times New Roman"/>
                <w:color w:val="auto"/>
                <w:kern w:val="18"/>
                <w:sz w:val="21"/>
                <w:szCs w:val="21"/>
                <w:highlight w:val="none"/>
                <w:lang w:val="en-US" w:eastAsia="zh-CN" w:bidi="ar-SA"/>
              </w:rPr>
              <w:t>4。</w:t>
            </w:r>
          </w:p>
        </w:tc>
        <w:tc>
          <w:tcPr>
            <w:tcW w:w="716" w:type="dxa"/>
            <w:noWrap w:val="0"/>
            <w:vAlign w:val="center"/>
          </w:tcPr>
          <w:p w14:paraId="7952B4F7">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ascii="Times New Roman" w:hAnsi="Times New Roman" w:eastAsia="宋体" w:cs="Times New Roman"/>
                <w:color w:val="auto"/>
                <w:kern w:val="18"/>
                <w:sz w:val="21"/>
                <w:szCs w:val="21"/>
                <w:highlight w:val="none"/>
                <w:lang w:val="en-US" w:eastAsia="zh-CN" w:bidi="ar-SA"/>
              </w:rPr>
              <w:t>合格</w:t>
            </w:r>
          </w:p>
        </w:tc>
      </w:tr>
      <w:tr w14:paraId="17465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435" w:type="dxa"/>
            <w:noWrap w:val="0"/>
            <w:vAlign w:val="center"/>
          </w:tcPr>
          <w:p w14:paraId="1B707EBA">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8</w:t>
            </w:r>
          </w:p>
        </w:tc>
        <w:tc>
          <w:tcPr>
            <w:tcW w:w="4846" w:type="dxa"/>
            <w:noWrap w:val="0"/>
            <w:vAlign w:val="center"/>
          </w:tcPr>
          <w:p w14:paraId="35C14474">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rFonts w:ascii="Times New Roman" w:hAnsi="Times New Roman" w:eastAsia="宋体" w:cs="Times New Roman"/>
                <w:color w:val="auto"/>
                <w:kern w:val="18"/>
                <w:sz w:val="21"/>
                <w:szCs w:val="21"/>
                <w:highlight w:val="none"/>
                <w:lang w:val="en-US" w:eastAsia="zh-CN" w:bidi="ar-SA"/>
              </w:rPr>
              <w:t>加油站内爆炸危险区域的等级和范围划分，应符合本规范附录C的规定。</w:t>
            </w:r>
          </w:p>
        </w:tc>
        <w:tc>
          <w:tcPr>
            <w:tcW w:w="1523" w:type="dxa"/>
            <w:noWrap w:val="0"/>
            <w:vAlign w:val="center"/>
          </w:tcPr>
          <w:p w14:paraId="16D6125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汽车加油加气加氢站技术</w:t>
            </w:r>
            <w:r>
              <w:rPr>
                <w:rFonts w:hint="eastAsia" w:ascii="Times New Roman" w:hAnsi="Times New Roman" w:eastAsia="宋体" w:cs="Times New Roman"/>
                <w:color w:val="auto"/>
                <w:kern w:val="18"/>
                <w:sz w:val="21"/>
                <w:szCs w:val="21"/>
                <w:highlight w:val="none"/>
                <w:lang w:val="en-US" w:eastAsia="zh-CN" w:bidi="ar-SA"/>
              </w:rPr>
              <w:t>标准</w:t>
            </w:r>
            <w:r>
              <w:rPr>
                <w:rFonts w:hint="default" w:ascii="Times New Roman" w:hAnsi="Times New Roman" w:eastAsia="宋体" w:cs="Times New Roman"/>
                <w:color w:val="auto"/>
                <w:kern w:val="18"/>
                <w:sz w:val="21"/>
                <w:szCs w:val="21"/>
                <w:highlight w:val="none"/>
                <w:lang w:val="en-US" w:eastAsia="zh-CN" w:bidi="ar-SA"/>
              </w:rPr>
              <w:t>GB50156-2021</w:t>
            </w:r>
          </w:p>
          <w:p w14:paraId="3BD070C0">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w:t>
            </w:r>
            <w:r>
              <w:rPr>
                <w:rFonts w:ascii="Times New Roman" w:hAnsi="Times New Roman" w:eastAsia="宋体" w:cs="Times New Roman"/>
                <w:color w:val="auto"/>
                <w:kern w:val="18"/>
                <w:sz w:val="21"/>
                <w:szCs w:val="21"/>
                <w:highlight w:val="none"/>
                <w:lang w:val="en-US" w:eastAsia="zh-CN" w:bidi="ar-SA"/>
              </w:rPr>
              <w:t>5.0.16</w:t>
            </w:r>
            <w:r>
              <w:rPr>
                <w:rFonts w:hint="eastAsia" w:ascii="Times New Roman" w:hAnsi="Times New Roman" w:eastAsia="宋体" w:cs="Times New Roman"/>
                <w:color w:val="auto"/>
                <w:kern w:val="18"/>
                <w:sz w:val="21"/>
                <w:szCs w:val="21"/>
                <w:highlight w:val="none"/>
                <w:lang w:val="en-US" w:eastAsia="zh-CN" w:bidi="ar-SA"/>
              </w:rPr>
              <w:t>条</w:t>
            </w:r>
          </w:p>
        </w:tc>
        <w:tc>
          <w:tcPr>
            <w:tcW w:w="1601" w:type="dxa"/>
            <w:noWrap w:val="0"/>
            <w:vAlign w:val="center"/>
          </w:tcPr>
          <w:p w14:paraId="1D445C25">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柴油不涉及爆炸危险区域。</w:t>
            </w:r>
          </w:p>
        </w:tc>
        <w:tc>
          <w:tcPr>
            <w:tcW w:w="716" w:type="dxa"/>
            <w:noWrap w:val="0"/>
            <w:vAlign w:val="center"/>
          </w:tcPr>
          <w:p w14:paraId="1B25E3A7">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ascii="Times New Roman" w:hAnsi="Times New Roman" w:eastAsia="宋体" w:cs="Times New Roman"/>
                <w:color w:val="auto"/>
                <w:kern w:val="18"/>
                <w:sz w:val="21"/>
                <w:szCs w:val="21"/>
                <w:highlight w:val="none"/>
                <w:lang w:val="en-US" w:eastAsia="zh-CN" w:bidi="ar-SA"/>
              </w:rPr>
              <w:t>合格</w:t>
            </w:r>
          </w:p>
        </w:tc>
      </w:tr>
    </w:tbl>
    <w:p w14:paraId="44B14D78">
      <w:pPr>
        <w:pStyle w:val="3"/>
        <w:bidi w:val="0"/>
        <w:rPr>
          <w:rFonts w:hint="default"/>
          <w:lang w:val="en-US" w:eastAsia="zh-CN"/>
        </w:rPr>
      </w:pPr>
      <w:bookmarkStart w:id="99" w:name="_Toc534192189"/>
      <w:bookmarkStart w:id="100" w:name="_Toc14358"/>
      <w:bookmarkStart w:id="101" w:name="_Toc19422"/>
      <w:bookmarkStart w:id="102" w:name="_Toc455498308"/>
      <w:bookmarkStart w:id="103" w:name="_Toc9937"/>
      <w:r>
        <w:t>F3.3 生产工艺及装置设施单元安全检查表</w:t>
      </w:r>
      <w:bookmarkEnd w:id="99"/>
      <w:bookmarkEnd w:id="100"/>
      <w:bookmarkEnd w:id="101"/>
      <w:bookmarkEnd w:id="102"/>
      <w:bookmarkEnd w:id="103"/>
    </w:p>
    <w:p w14:paraId="2AF303CC">
      <w:pPr>
        <w:pStyle w:val="4"/>
        <w:bidi w:val="0"/>
        <w:rPr>
          <w:rFonts w:hint="default"/>
          <w:lang w:val="en-US" w:eastAsia="zh-CN"/>
        </w:rPr>
      </w:pPr>
      <w:bookmarkStart w:id="104" w:name="_Toc3270"/>
      <w:r>
        <w:rPr>
          <w:rFonts w:hint="default"/>
          <w:lang w:val="en-US" w:eastAsia="zh-CN"/>
        </w:rPr>
        <w:t>F3.3.1 生产工艺及装置设施单元安全检查表</w:t>
      </w:r>
      <w:bookmarkEnd w:id="104"/>
    </w:p>
    <w:p w14:paraId="023C9641">
      <w:pPr>
        <w:bidi w:val="0"/>
        <w:rPr>
          <w:rFonts w:hint="default"/>
          <w:lang w:val="en-US" w:eastAsia="zh-CN"/>
        </w:rPr>
      </w:pPr>
      <w:r>
        <w:rPr>
          <w:rFonts w:hint="default"/>
          <w:lang w:val="en-US" w:eastAsia="zh-CN"/>
        </w:rPr>
        <w:t>对照《撬装式汽车加油站技术标准》（SH/T 3134-2023）、《汽车加油加气加氢站技术标准》（GB50156-2021）等制作检查表，对生产工艺及装置设施单元进行检查，检查情况如下：</w:t>
      </w:r>
    </w:p>
    <w:p w14:paraId="53E7A2E2">
      <w:pPr>
        <w:bidi w:val="0"/>
        <w:ind w:left="0" w:leftChars="0" w:firstLine="0" w:firstLineChars="0"/>
        <w:jc w:val="center"/>
        <w:rPr>
          <w:rFonts w:hint="default"/>
          <w:lang w:val="en-US" w:eastAsia="zh-CN"/>
        </w:rPr>
      </w:pPr>
      <w:r>
        <w:rPr>
          <w:rFonts w:hint="default"/>
          <w:lang w:val="en-US" w:eastAsia="zh-CN"/>
        </w:rPr>
        <w:t>表F3.3-1 生产工艺及主要装置安全检查表</w:t>
      </w:r>
    </w:p>
    <w:tbl>
      <w:tblPr>
        <w:tblStyle w:val="20"/>
        <w:tblW w:w="9071" w:type="dxa"/>
        <w:jc w:val="center"/>
        <w:tblLayout w:type="fixed"/>
        <w:tblCellMar>
          <w:top w:w="0" w:type="dxa"/>
          <w:left w:w="108" w:type="dxa"/>
          <w:bottom w:w="0" w:type="dxa"/>
          <w:right w:w="108" w:type="dxa"/>
        </w:tblCellMar>
      </w:tblPr>
      <w:tblGrid>
        <w:gridCol w:w="612"/>
        <w:gridCol w:w="3683"/>
        <w:gridCol w:w="1819"/>
        <w:gridCol w:w="2240"/>
        <w:gridCol w:w="717"/>
      </w:tblGrid>
      <w:tr w14:paraId="62960525">
        <w:tblPrEx>
          <w:tblCellMar>
            <w:top w:w="0" w:type="dxa"/>
            <w:left w:w="108" w:type="dxa"/>
            <w:bottom w:w="0" w:type="dxa"/>
            <w:right w:w="108" w:type="dxa"/>
          </w:tblCellMar>
        </w:tblPrEx>
        <w:trPr>
          <w:trHeight w:val="454" w:hRule="atLeast"/>
          <w:jc w:val="center"/>
        </w:trPr>
        <w:tc>
          <w:tcPr>
            <w:tcW w:w="612" w:type="dxa"/>
            <w:tcBorders>
              <w:top w:val="single" w:color="000000" w:sz="4" w:space="0"/>
              <w:left w:val="single" w:color="000000" w:sz="4" w:space="0"/>
              <w:bottom w:val="single" w:color="000000" w:sz="4" w:space="0"/>
              <w:right w:val="single" w:color="000000" w:sz="4" w:space="0"/>
            </w:tcBorders>
            <w:noWrap w:val="0"/>
            <w:vAlign w:val="center"/>
          </w:tcPr>
          <w:p w14:paraId="1E1DF128">
            <w:pPr>
              <w:pStyle w:val="50"/>
              <w:bidi w:val="0"/>
              <w:rPr>
                <w:color w:val="auto"/>
              </w:rPr>
            </w:pPr>
            <w:r>
              <w:rPr>
                <w:color w:val="auto"/>
              </w:rPr>
              <w:t>序号</w:t>
            </w:r>
          </w:p>
        </w:tc>
        <w:tc>
          <w:tcPr>
            <w:tcW w:w="3683" w:type="dxa"/>
            <w:tcBorders>
              <w:top w:val="single" w:color="000000" w:sz="4" w:space="0"/>
              <w:left w:val="single" w:color="000000" w:sz="4" w:space="0"/>
              <w:bottom w:val="single" w:color="000000" w:sz="4" w:space="0"/>
              <w:right w:val="single" w:color="000000" w:sz="4" w:space="0"/>
            </w:tcBorders>
            <w:noWrap w:val="0"/>
            <w:vAlign w:val="center"/>
          </w:tcPr>
          <w:p w14:paraId="02C368F2">
            <w:pPr>
              <w:pStyle w:val="50"/>
              <w:bidi w:val="0"/>
              <w:rPr>
                <w:color w:val="auto"/>
              </w:rPr>
            </w:pPr>
            <w:r>
              <w:rPr>
                <w:color w:val="auto"/>
              </w:rPr>
              <w:t>检查项目及内容</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14:paraId="7AB4551F">
            <w:pPr>
              <w:pStyle w:val="50"/>
              <w:bidi w:val="0"/>
              <w:rPr>
                <w:rFonts w:ascii="Times New Roman" w:hAnsi="Times New Roman" w:eastAsia="宋体"/>
                <w:color w:val="auto"/>
                <w:kern w:val="2"/>
                <w:sz w:val="21"/>
                <w:szCs w:val="21"/>
                <w:lang w:val="en-US" w:eastAsia="zh-CN" w:bidi="ar-SA"/>
              </w:rPr>
            </w:pPr>
            <w:r>
              <w:rPr>
                <w:color w:val="auto"/>
              </w:rPr>
              <w:t>检查依据</w:t>
            </w:r>
          </w:p>
        </w:tc>
        <w:tc>
          <w:tcPr>
            <w:tcW w:w="2240" w:type="dxa"/>
            <w:tcBorders>
              <w:top w:val="single" w:color="000000" w:sz="4" w:space="0"/>
              <w:left w:val="single" w:color="000000" w:sz="4" w:space="0"/>
              <w:bottom w:val="single" w:color="000000" w:sz="4" w:space="0"/>
              <w:right w:val="single" w:color="000000" w:sz="4" w:space="0"/>
            </w:tcBorders>
            <w:noWrap w:val="0"/>
            <w:vAlign w:val="center"/>
          </w:tcPr>
          <w:p w14:paraId="228DF4D6">
            <w:pPr>
              <w:pStyle w:val="50"/>
              <w:bidi w:val="0"/>
              <w:rPr>
                <w:color w:val="auto"/>
              </w:rPr>
            </w:pPr>
            <w:r>
              <w:rPr>
                <w:color w:val="auto"/>
              </w:rPr>
              <w:t>检查记录</w:t>
            </w:r>
          </w:p>
        </w:tc>
        <w:tc>
          <w:tcPr>
            <w:tcW w:w="717" w:type="dxa"/>
            <w:tcBorders>
              <w:top w:val="single" w:color="000000" w:sz="4" w:space="0"/>
              <w:left w:val="single" w:color="000000" w:sz="4" w:space="0"/>
              <w:bottom w:val="single" w:color="000000" w:sz="4" w:space="0"/>
              <w:right w:val="single" w:color="000000" w:sz="4" w:space="0"/>
            </w:tcBorders>
            <w:noWrap w:val="0"/>
            <w:vAlign w:val="center"/>
          </w:tcPr>
          <w:p w14:paraId="0F702652">
            <w:pPr>
              <w:pStyle w:val="50"/>
              <w:bidi w:val="0"/>
              <w:rPr>
                <w:rFonts w:ascii="Times New Roman" w:hAnsi="Times New Roman" w:eastAsia="宋体"/>
                <w:color w:val="auto"/>
                <w:kern w:val="2"/>
                <w:sz w:val="21"/>
                <w:szCs w:val="21"/>
                <w:lang w:val="en-US" w:eastAsia="zh-CN" w:bidi="ar-SA"/>
              </w:rPr>
            </w:pPr>
            <w:r>
              <w:rPr>
                <w:color w:val="auto"/>
              </w:rPr>
              <w:t>检查结果</w:t>
            </w:r>
          </w:p>
        </w:tc>
      </w:tr>
      <w:tr w14:paraId="6D854C8B">
        <w:tblPrEx>
          <w:tblCellMar>
            <w:top w:w="0" w:type="dxa"/>
            <w:left w:w="108" w:type="dxa"/>
            <w:bottom w:w="0" w:type="dxa"/>
            <w:right w:w="108" w:type="dxa"/>
          </w:tblCellMar>
        </w:tblPrEx>
        <w:trPr>
          <w:trHeight w:val="454" w:hRule="atLeast"/>
          <w:jc w:val="center"/>
        </w:trPr>
        <w:tc>
          <w:tcPr>
            <w:tcW w:w="612" w:type="dxa"/>
            <w:tcBorders>
              <w:top w:val="single" w:color="000000" w:sz="4" w:space="0"/>
              <w:left w:val="single" w:color="000000" w:sz="4" w:space="0"/>
              <w:bottom w:val="single" w:color="000000" w:sz="4" w:space="0"/>
              <w:right w:val="single" w:color="000000" w:sz="4" w:space="0"/>
            </w:tcBorders>
            <w:noWrap w:val="0"/>
            <w:vAlign w:val="center"/>
          </w:tcPr>
          <w:p w14:paraId="195087D9">
            <w:pPr>
              <w:pStyle w:val="50"/>
              <w:keepNext w:val="0"/>
              <w:keepLines w:val="0"/>
              <w:pageBreakBefore w:val="0"/>
              <w:widowControl/>
              <w:kinsoku/>
              <w:wordWrap/>
              <w:overflowPunct/>
              <w:topLinePunct w:val="0"/>
              <w:autoSpaceDE/>
              <w:autoSpaceDN/>
              <w:bidi w:val="0"/>
              <w:adjustRightInd/>
              <w:snapToGrid/>
              <w:spacing w:line="320" w:lineRule="exact"/>
              <w:textAlignment w:val="auto"/>
              <w:rPr>
                <w:color w:val="auto"/>
              </w:rPr>
            </w:pPr>
            <w:r>
              <w:rPr>
                <w:color w:val="auto"/>
              </w:rPr>
              <w:t>1</w:t>
            </w:r>
          </w:p>
        </w:tc>
        <w:tc>
          <w:tcPr>
            <w:tcW w:w="3683" w:type="dxa"/>
            <w:tcBorders>
              <w:top w:val="single" w:color="000000" w:sz="4" w:space="0"/>
              <w:left w:val="single" w:color="000000" w:sz="4" w:space="0"/>
              <w:bottom w:val="single" w:color="000000" w:sz="4" w:space="0"/>
              <w:right w:val="single" w:color="000000" w:sz="4" w:space="0"/>
            </w:tcBorders>
            <w:noWrap w:val="0"/>
            <w:vAlign w:val="center"/>
          </w:tcPr>
          <w:p w14:paraId="76697601">
            <w:pPr>
              <w:pStyle w:val="50"/>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eastAsia="宋体"/>
                <w:color w:val="auto"/>
                <w:lang w:val="en-US" w:eastAsia="zh-CN"/>
              </w:rPr>
            </w:pPr>
            <w:r>
              <w:rPr>
                <w:rFonts w:hint="eastAsia"/>
                <w:color w:val="auto"/>
                <w:lang w:val="en-US" w:eastAsia="zh-CN"/>
              </w:rPr>
              <w:t>撬装式加油装置应具有防爆、防火功能。撬装式加油装置应整体供应。</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14:paraId="7DD2916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橇装式汽车加油站技术标准</w:t>
            </w:r>
          </w:p>
          <w:p w14:paraId="0201535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SH/T3134-2023</w:t>
            </w:r>
          </w:p>
          <w:p w14:paraId="6C252B2C">
            <w:pPr>
              <w:pStyle w:val="50"/>
              <w:keepNext w:val="0"/>
              <w:keepLines w:val="0"/>
              <w:pageBreakBefore w:val="0"/>
              <w:widowControl/>
              <w:kinsoku/>
              <w:wordWrap/>
              <w:overflowPunct/>
              <w:topLinePunct w:val="0"/>
              <w:autoSpaceDE/>
              <w:autoSpaceDN/>
              <w:bidi w:val="0"/>
              <w:adjustRightInd/>
              <w:snapToGrid/>
              <w:spacing w:line="320" w:lineRule="exact"/>
              <w:textAlignment w:val="auto"/>
              <w:rPr>
                <w:rFonts w:hint="default"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第4.1.1条</w:t>
            </w:r>
          </w:p>
        </w:tc>
        <w:tc>
          <w:tcPr>
            <w:tcW w:w="2240" w:type="dxa"/>
            <w:tcBorders>
              <w:top w:val="single" w:color="000000" w:sz="4" w:space="0"/>
              <w:left w:val="single" w:color="000000" w:sz="4" w:space="0"/>
              <w:bottom w:val="single" w:color="000000" w:sz="4" w:space="0"/>
              <w:right w:val="single" w:color="000000" w:sz="4" w:space="0"/>
            </w:tcBorders>
            <w:noWrap w:val="0"/>
            <w:vAlign w:val="center"/>
          </w:tcPr>
          <w:p w14:paraId="549C0F4C">
            <w:pPr>
              <w:pStyle w:val="50"/>
              <w:keepNext w:val="0"/>
              <w:keepLines w:val="0"/>
              <w:pageBreakBefore w:val="0"/>
              <w:widowControl/>
              <w:kinsoku/>
              <w:wordWrap/>
              <w:overflowPunct/>
              <w:topLinePunct w:val="0"/>
              <w:autoSpaceDE/>
              <w:autoSpaceDN/>
              <w:bidi w:val="0"/>
              <w:adjustRightInd/>
              <w:snapToGrid/>
              <w:spacing w:line="320" w:lineRule="exact"/>
              <w:textAlignment w:val="auto"/>
              <w:rPr>
                <w:color w:val="auto"/>
              </w:rPr>
            </w:pPr>
            <w:r>
              <w:rPr>
                <w:rFonts w:hint="eastAsia"/>
                <w:color w:val="auto"/>
                <w:lang w:val="en-US" w:eastAsia="zh-CN"/>
              </w:rPr>
              <w:t>该项目撬装式加油装置具有防爆、防火功能，整体供应</w:t>
            </w:r>
          </w:p>
        </w:tc>
        <w:tc>
          <w:tcPr>
            <w:tcW w:w="717" w:type="dxa"/>
            <w:tcBorders>
              <w:top w:val="single" w:color="000000" w:sz="4" w:space="0"/>
              <w:left w:val="single" w:color="000000" w:sz="4" w:space="0"/>
              <w:bottom w:val="single" w:color="000000" w:sz="4" w:space="0"/>
              <w:right w:val="single" w:color="000000" w:sz="4" w:space="0"/>
            </w:tcBorders>
            <w:noWrap w:val="0"/>
            <w:vAlign w:val="center"/>
          </w:tcPr>
          <w:p w14:paraId="7A931A1D">
            <w:pPr>
              <w:pStyle w:val="50"/>
              <w:keepNext w:val="0"/>
              <w:keepLines w:val="0"/>
              <w:pageBreakBefore w:val="0"/>
              <w:widowControl/>
              <w:kinsoku/>
              <w:wordWrap/>
              <w:overflowPunct/>
              <w:topLinePunct w:val="0"/>
              <w:autoSpaceDE/>
              <w:autoSpaceDN/>
              <w:bidi w:val="0"/>
              <w:adjustRightInd/>
              <w:snapToGrid/>
              <w:spacing w:line="320" w:lineRule="exact"/>
              <w:textAlignment w:val="auto"/>
              <w:rPr>
                <w:rFonts w:ascii="Times New Roman" w:hAnsi="Times New Roman" w:eastAsia="宋体"/>
                <w:color w:val="auto"/>
                <w:kern w:val="2"/>
                <w:sz w:val="21"/>
                <w:szCs w:val="21"/>
                <w:lang w:val="en-US" w:eastAsia="zh-CN" w:bidi="ar-SA"/>
              </w:rPr>
            </w:pPr>
            <w:r>
              <w:rPr>
                <w:color w:val="auto"/>
              </w:rPr>
              <w:t>符合</w:t>
            </w:r>
          </w:p>
        </w:tc>
      </w:tr>
      <w:tr w14:paraId="67A0581F">
        <w:tblPrEx>
          <w:tblCellMar>
            <w:top w:w="0" w:type="dxa"/>
            <w:left w:w="108" w:type="dxa"/>
            <w:bottom w:w="0" w:type="dxa"/>
            <w:right w:w="108" w:type="dxa"/>
          </w:tblCellMar>
        </w:tblPrEx>
        <w:trPr>
          <w:trHeight w:val="454" w:hRule="atLeast"/>
          <w:jc w:val="center"/>
        </w:trPr>
        <w:tc>
          <w:tcPr>
            <w:tcW w:w="612" w:type="dxa"/>
            <w:tcBorders>
              <w:top w:val="single" w:color="000000" w:sz="4" w:space="0"/>
              <w:left w:val="single" w:color="000000" w:sz="4" w:space="0"/>
              <w:bottom w:val="single" w:color="000000" w:sz="4" w:space="0"/>
              <w:right w:val="single" w:color="000000" w:sz="4" w:space="0"/>
            </w:tcBorders>
            <w:noWrap w:val="0"/>
            <w:vAlign w:val="center"/>
          </w:tcPr>
          <w:p w14:paraId="1A4960CD">
            <w:pPr>
              <w:pStyle w:val="50"/>
              <w:keepNext w:val="0"/>
              <w:keepLines w:val="0"/>
              <w:pageBreakBefore w:val="0"/>
              <w:widowControl/>
              <w:kinsoku/>
              <w:wordWrap/>
              <w:overflowPunct/>
              <w:topLinePunct w:val="0"/>
              <w:autoSpaceDE/>
              <w:autoSpaceDN/>
              <w:bidi w:val="0"/>
              <w:adjustRightInd/>
              <w:snapToGrid/>
              <w:spacing w:line="320" w:lineRule="exact"/>
              <w:textAlignment w:val="auto"/>
              <w:rPr>
                <w:color w:val="auto"/>
              </w:rPr>
            </w:pPr>
            <w:r>
              <w:rPr>
                <w:color w:val="auto"/>
              </w:rPr>
              <w:t>2</w:t>
            </w:r>
          </w:p>
        </w:tc>
        <w:tc>
          <w:tcPr>
            <w:tcW w:w="3683" w:type="dxa"/>
            <w:tcBorders>
              <w:top w:val="single" w:color="000000" w:sz="4" w:space="0"/>
              <w:left w:val="single" w:color="000000" w:sz="4" w:space="0"/>
              <w:bottom w:val="single" w:color="000000" w:sz="4" w:space="0"/>
              <w:right w:val="single" w:color="000000" w:sz="4" w:space="0"/>
            </w:tcBorders>
            <w:noWrap w:val="0"/>
            <w:vAlign w:val="center"/>
          </w:tcPr>
          <w:p w14:paraId="48C77D77">
            <w:pPr>
              <w:pStyle w:val="50"/>
              <w:keepNext w:val="0"/>
              <w:keepLines w:val="0"/>
              <w:pageBreakBefore w:val="0"/>
              <w:widowControl/>
              <w:kinsoku/>
              <w:wordWrap/>
              <w:overflowPunct/>
              <w:topLinePunct w:val="0"/>
              <w:autoSpaceDE/>
              <w:autoSpaceDN/>
              <w:bidi w:val="0"/>
              <w:adjustRightInd/>
              <w:snapToGrid/>
              <w:spacing w:line="320" w:lineRule="exact"/>
              <w:jc w:val="both"/>
              <w:textAlignment w:val="auto"/>
              <w:rPr>
                <w:rFonts w:hint="eastAsia" w:eastAsia="宋体"/>
                <w:color w:val="auto"/>
                <w:lang w:eastAsia="zh-CN"/>
              </w:rPr>
            </w:pPr>
            <w:r>
              <w:rPr>
                <w:rFonts w:hint="eastAsia"/>
                <w:color w:val="auto"/>
                <w:lang w:eastAsia="zh-CN"/>
              </w:rPr>
              <w:t>撬</w:t>
            </w:r>
            <w:r>
              <w:rPr>
                <w:rFonts w:hint="eastAsia"/>
                <w:color w:val="auto"/>
              </w:rPr>
              <w:t>装式加油装置应采用双层钢制油罐</w:t>
            </w:r>
            <w:r>
              <w:rPr>
                <w:rFonts w:hint="eastAsia"/>
                <w:color w:val="auto"/>
                <w:lang w:eastAsia="zh-CN"/>
              </w:rPr>
              <w:t>，</w:t>
            </w:r>
            <w:r>
              <w:rPr>
                <w:rFonts w:hint="eastAsia"/>
                <w:color w:val="auto"/>
              </w:rPr>
              <w:t>内外罐壁之间的空间应设泄漏检测装置，泄漏检测装置应能检测出任何部位出现的泄漏</w:t>
            </w:r>
            <w:r>
              <w:rPr>
                <w:rFonts w:hint="eastAsia"/>
                <w:color w:val="auto"/>
                <w:lang w:eastAsia="zh-CN"/>
              </w:rPr>
              <w:t>。</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14:paraId="3290D38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橇装式汽车加油站技术标准</w:t>
            </w:r>
          </w:p>
          <w:p w14:paraId="081C06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SH/T3134-2023</w:t>
            </w:r>
          </w:p>
          <w:p w14:paraId="4EC1B8AA">
            <w:pPr>
              <w:pStyle w:val="50"/>
              <w:keepNext w:val="0"/>
              <w:keepLines w:val="0"/>
              <w:pageBreakBefore w:val="0"/>
              <w:widowControl/>
              <w:kinsoku/>
              <w:wordWrap/>
              <w:overflowPunct/>
              <w:topLinePunct w:val="0"/>
              <w:autoSpaceDE/>
              <w:autoSpaceDN/>
              <w:bidi w:val="0"/>
              <w:adjustRightInd/>
              <w:snapToGrid/>
              <w:spacing w:line="320" w:lineRule="exact"/>
              <w:textAlignment w:val="auto"/>
              <w:rPr>
                <w:rFonts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第4.1.2条</w:t>
            </w:r>
          </w:p>
        </w:tc>
        <w:tc>
          <w:tcPr>
            <w:tcW w:w="2240" w:type="dxa"/>
            <w:tcBorders>
              <w:top w:val="single" w:color="000000" w:sz="4" w:space="0"/>
              <w:left w:val="single" w:color="000000" w:sz="4" w:space="0"/>
              <w:bottom w:val="single" w:color="000000" w:sz="4" w:space="0"/>
              <w:right w:val="single" w:color="000000" w:sz="4" w:space="0"/>
            </w:tcBorders>
            <w:noWrap w:val="0"/>
            <w:vAlign w:val="center"/>
          </w:tcPr>
          <w:p w14:paraId="7362DCB1">
            <w:pPr>
              <w:pStyle w:val="50"/>
              <w:keepNext w:val="0"/>
              <w:keepLines w:val="0"/>
              <w:pageBreakBefore w:val="0"/>
              <w:widowControl/>
              <w:kinsoku/>
              <w:wordWrap/>
              <w:overflowPunct/>
              <w:topLinePunct w:val="0"/>
              <w:autoSpaceDE/>
              <w:autoSpaceDN/>
              <w:bidi w:val="0"/>
              <w:adjustRightInd/>
              <w:snapToGrid/>
              <w:spacing w:line="320" w:lineRule="exact"/>
              <w:textAlignment w:val="auto"/>
              <w:rPr>
                <w:rFonts w:hint="default" w:eastAsia="宋体"/>
                <w:color w:val="auto"/>
                <w:lang w:val="en-US" w:eastAsia="zh-CN"/>
              </w:rPr>
            </w:pPr>
            <w:r>
              <w:rPr>
                <w:rFonts w:hint="eastAsia"/>
                <w:color w:val="auto"/>
              </w:rPr>
              <w:t>采用双层钢制油罐</w:t>
            </w:r>
            <w:r>
              <w:rPr>
                <w:rFonts w:hint="eastAsia"/>
                <w:color w:val="auto"/>
                <w:highlight w:val="none"/>
                <w:lang w:eastAsia="zh-CN"/>
              </w:rPr>
              <w:t>，</w:t>
            </w:r>
            <w:r>
              <w:rPr>
                <w:rFonts w:hint="eastAsia"/>
                <w:color w:val="auto"/>
                <w:highlight w:val="none"/>
                <w:lang w:val="en-US" w:eastAsia="zh-CN"/>
              </w:rPr>
              <w:t>有泄漏检测装置</w:t>
            </w:r>
          </w:p>
        </w:tc>
        <w:tc>
          <w:tcPr>
            <w:tcW w:w="717" w:type="dxa"/>
            <w:tcBorders>
              <w:top w:val="single" w:color="000000" w:sz="4" w:space="0"/>
              <w:left w:val="single" w:color="000000" w:sz="4" w:space="0"/>
              <w:bottom w:val="single" w:color="000000" w:sz="4" w:space="0"/>
              <w:right w:val="single" w:color="000000" w:sz="4" w:space="0"/>
            </w:tcBorders>
            <w:noWrap w:val="0"/>
            <w:vAlign w:val="center"/>
          </w:tcPr>
          <w:p w14:paraId="19F6234A">
            <w:pPr>
              <w:pStyle w:val="50"/>
              <w:keepNext w:val="0"/>
              <w:keepLines w:val="0"/>
              <w:pageBreakBefore w:val="0"/>
              <w:widowControl/>
              <w:kinsoku/>
              <w:wordWrap/>
              <w:overflowPunct/>
              <w:topLinePunct w:val="0"/>
              <w:autoSpaceDE/>
              <w:autoSpaceDN/>
              <w:bidi w:val="0"/>
              <w:adjustRightInd/>
              <w:snapToGrid/>
              <w:spacing w:line="320" w:lineRule="exact"/>
              <w:textAlignment w:val="auto"/>
              <w:rPr>
                <w:rFonts w:ascii="Times New Roman" w:hAnsi="Times New Roman" w:eastAsia="宋体"/>
                <w:color w:val="auto"/>
                <w:kern w:val="2"/>
                <w:sz w:val="21"/>
                <w:szCs w:val="21"/>
                <w:lang w:val="en-US" w:eastAsia="zh-CN" w:bidi="ar-SA"/>
              </w:rPr>
            </w:pPr>
            <w:r>
              <w:rPr>
                <w:color w:val="auto"/>
              </w:rPr>
              <w:t>符合</w:t>
            </w:r>
          </w:p>
        </w:tc>
      </w:tr>
      <w:tr w14:paraId="1BD212B2">
        <w:tblPrEx>
          <w:tblCellMar>
            <w:top w:w="0" w:type="dxa"/>
            <w:left w:w="108" w:type="dxa"/>
            <w:bottom w:w="0" w:type="dxa"/>
            <w:right w:w="108" w:type="dxa"/>
          </w:tblCellMar>
        </w:tblPrEx>
        <w:trPr>
          <w:trHeight w:val="454" w:hRule="atLeast"/>
          <w:jc w:val="center"/>
        </w:trPr>
        <w:tc>
          <w:tcPr>
            <w:tcW w:w="612" w:type="dxa"/>
            <w:tcBorders>
              <w:top w:val="single" w:color="000000" w:sz="4" w:space="0"/>
              <w:left w:val="single" w:color="000000" w:sz="4" w:space="0"/>
              <w:bottom w:val="single" w:color="000000" w:sz="4" w:space="0"/>
              <w:right w:val="single" w:color="000000" w:sz="4" w:space="0"/>
            </w:tcBorders>
            <w:noWrap w:val="0"/>
            <w:vAlign w:val="center"/>
          </w:tcPr>
          <w:p w14:paraId="49807F5E">
            <w:pPr>
              <w:pStyle w:val="50"/>
              <w:keepNext w:val="0"/>
              <w:keepLines w:val="0"/>
              <w:pageBreakBefore w:val="0"/>
              <w:widowControl/>
              <w:kinsoku/>
              <w:wordWrap/>
              <w:overflowPunct/>
              <w:topLinePunct w:val="0"/>
              <w:autoSpaceDE/>
              <w:autoSpaceDN/>
              <w:bidi w:val="0"/>
              <w:adjustRightInd/>
              <w:snapToGrid/>
              <w:spacing w:line="320" w:lineRule="exact"/>
              <w:textAlignment w:val="auto"/>
              <w:rPr>
                <w:color w:val="auto"/>
              </w:rPr>
            </w:pPr>
            <w:r>
              <w:rPr>
                <w:color w:val="auto"/>
              </w:rPr>
              <w:t>3</w:t>
            </w:r>
          </w:p>
        </w:tc>
        <w:tc>
          <w:tcPr>
            <w:tcW w:w="3683" w:type="dxa"/>
            <w:tcBorders>
              <w:top w:val="single" w:color="000000" w:sz="4" w:space="0"/>
              <w:left w:val="single" w:color="000000" w:sz="4" w:space="0"/>
              <w:bottom w:val="single" w:color="000000" w:sz="4" w:space="0"/>
              <w:right w:val="single" w:color="000000" w:sz="4" w:space="0"/>
            </w:tcBorders>
            <w:noWrap w:val="0"/>
            <w:vAlign w:val="center"/>
          </w:tcPr>
          <w:p w14:paraId="4FA38441">
            <w:pPr>
              <w:pStyle w:val="50"/>
              <w:keepNext w:val="0"/>
              <w:keepLines w:val="0"/>
              <w:pageBreakBefore w:val="0"/>
              <w:widowControl/>
              <w:kinsoku/>
              <w:wordWrap/>
              <w:overflowPunct/>
              <w:topLinePunct w:val="0"/>
              <w:autoSpaceDE/>
              <w:autoSpaceDN/>
              <w:bidi w:val="0"/>
              <w:adjustRightInd/>
              <w:snapToGrid/>
              <w:spacing w:line="320" w:lineRule="exact"/>
              <w:jc w:val="both"/>
              <w:textAlignment w:val="auto"/>
              <w:rPr>
                <w:rFonts w:hint="eastAsia" w:eastAsia="宋体"/>
                <w:color w:val="auto"/>
                <w:lang w:eastAsia="zh-CN"/>
              </w:rPr>
            </w:pPr>
            <w:r>
              <w:rPr>
                <w:rFonts w:hint="eastAsia"/>
                <w:color w:val="auto"/>
                <w:lang w:eastAsia="zh-CN"/>
              </w:rPr>
              <w:t>撬</w:t>
            </w:r>
            <w:r>
              <w:rPr>
                <w:rFonts w:hint="eastAsia"/>
                <w:color w:val="auto"/>
              </w:rPr>
              <w:t>装式加油装置的油罐应采取下列防爆措施</w:t>
            </w:r>
            <w:r>
              <w:rPr>
                <w:rFonts w:hint="eastAsia"/>
                <w:color w:val="auto"/>
                <w:lang w:eastAsia="zh-CN"/>
              </w:rPr>
              <w:t>：</w:t>
            </w:r>
          </w:p>
          <w:p w14:paraId="730E82FC">
            <w:pPr>
              <w:pStyle w:val="50"/>
              <w:keepNext w:val="0"/>
              <w:keepLines w:val="0"/>
              <w:pageBreakBefore w:val="0"/>
              <w:widowControl/>
              <w:kinsoku/>
              <w:wordWrap/>
              <w:overflowPunct/>
              <w:topLinePunct w:val="0"/>
              <w:autoSpaceDE/>
              <w:autoSpaceDN/>
              <w:bidi w:val="0"/>
              <w:adjustRightInd/>
              <w:snapToGrid/>
              <w:spacing w:line="320" w:lineRule="exact"/>
              <w:jc w:val="both"/>
              <w:textAlignment w:val="auto"/>
              <w:rPr>
                <w:rFonts w:hint="eastAsia" w:eastAsia="宋体"/>
                <w:color w:val="auto"/>
                <w:lang w:eastAsia="zh-CN"/>
              </w:rPr>
            </w:pPr>
            <w:r>
              <w:rPr>
                <w:rFonts w:hint="eastAsia"/>
                <w:color w:val="auto"/>
                <w:lang w:val="en-US" w:eastAsia="zh-CN"/>
              </w:rPr>
              <w:t>a</w:t>
            </w:r>
            <w:r>
              <w:rPr>
                <w:rFonts w:hint="eastAsia"/>
                <w:color w:val="auto"/>
                <w:lang w:eastAsia="zh-CN"/>
              </w:rPr>
              <w:t>）</w:t>
            </w:r>
            <w:r>
              <w:rPr>
                <w:rFonts w:hint="eastAsia"/>
                <w:color w:val="auto"/>
              </w:rPr>
              <w:t>内罐设计压力不应小于0.8MP</w:t>
            </w:r>
            <w:r>
              <w:rPr>
                <w:rFonts w:hint="eastAsia"/>
                <w:color w:val="auto"/>
                <w:lang w:val="en-US" w:eastAsia="zh-CN"/>
              </w:rPr>
              <w:t>a</w:t>
            </w:r>
            <w:r>
              <w:rPr>
                <w:rFonts w:hint="eastAsia"/>
                <w:color w:val="auto"/>
                <w:lang w:eastAsia="zh-CN"/>
              </w:rPr>
              <w:t>；</w:t>
            </w:r>
          </w:p>
          <w:p w14:paraId="45A5D6B8">
            <w:pPr>
              <w:pStyle w:val="50"/>
              <w:keepNext w:val="0"/>
              <w:keepLines w:val="0"/>
              <w:pageBreakBefore w:val="0"/>
              <w:widowControl/>
              <w:kinsoku/>
              <w:wordWrap/>
              <w:overflowPunct/>
              <w:topLinePunct w:val="0"/>
              <w:autoSpaceDE/>
              <w:autoSpaceDN/>
              <w:bidi w:val="0"/>
              <w:adjustRightInd/>
              <w:snapToGrid/>
              <w:spacing w:line="320" w:lineRule="exact"/>
              <w:jc w:val="both"/>
              <w:textAlignment w:val="auto"/>
              <w:rPr>
                <w:rFonts w:hint="eastAsia" w:eastAsia="宋体"/>
                <w:color w:val="auto"/>
                <w:lang w:eastAsia="zh-CN"/>
              </w:rPr>
            </w:pPr>
            <w:r>
              <w:rPr>
                <w:rFonts w:hint="eastAsia"/>
                <w:color w:val="auto"/>
                <w:lang w:val="en-US" w:eastAsia="zh-CN"/>
              </w:rPr>
              <w:t>b</w:t>
            </w:r>
            <w:r>
              <w:rPr>
                <w:rFonts w:hint="eastAsia"/>
                <w:color w:val="auto"/>
                <w:lang w:eastAsia="zh-CN"/>
              </w:rPr>
              <w:t>）</w:t>
            </w:r>
            <w:r>
              <w:rPr>
                <w:rFonts w:hint="eastAsia"/>
                <w:color w:val="auto"/>
              </w:rPr>
              <w:t>汽油罐或隔舱内应安装防爆装置(或材料)。当采用阻隔防爆装置(或材料)时，其选用和安装应符合AQ/T 3001的有关规定，阻隔防爆装置</w:t>
            </w:r>
            <w:r>
              <w:rPr>
                <w:rFonts w:hint="eastAsia"/>
                <w:color w:val="auto"/>
                <w:lang w:eastAsia="zh-CN"/>
              </w:rPr>
              <w:t>（</w:t>
            </w:r>
            <w:r>
              <w:rPr>
                <w:rFonts w:hint="eastAsia"/>
                <w:color w:val="auto"/>
              </w:rPr>
              <w:t>或材料</w:t>
            </w:r>
            <w:r>
              <w:rPr>
                <w:rFonts w:hint="eastAsia"/>
                <w:color w:val="auto"/>
                <w:lang w:eastAsia="zh-CN"/>
              </w:rPr>
              <w:t>）</w:t>
            </w:r>
            <w:r>
              <w:rPr>
                <w:rFonts w:hint="eastAsia"/>
                <w:color w:val="auto"/>
              </w:rPr>
              <w:t>的燃爆增压值不应大于0.05MPa。当采用其他防爆装置时，应通过安全性和必要性论证</w:t>
            </w:r>
            <w:r>
              <w:rPr>
                <w:rFonts w:hint="eastAsia"/>
                <w:color w:val="auto"/>
                <w:lang w:eastAsia="zh-CN"/>
              </w:rPr>
              <w:t>。</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14:paraId="36B5AA9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橇装式汽车加油站技术标准</w:t>
            </w:r>
          </w:p>
          <w:p w14:paraId="75CC8A1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SH/T3134-2023</w:t>
            </w:r>
          </w:p>
          <w:p w14:paraId="2E9F4427">
            <w:pPr>
              <w:pStyle w:val="50"/>
              <w:keepNext w:val="0"/>
              <w:keepLines w:val="0"/>
              <w:pageBreakBefore w:val="0"/>
              <w:widowControl/>
              <w:kinsoku/>
              <w:wordWrap/>
              <w:overflowPunct/>
              <w:topLinePunct w:val="0"/>
              <w:autoSpaceDE/>
              <w:autoSpaceDN/>
              <w:bidi w:val="0"/>
              <w:adjustRightInd/>
              <w:snapToGrid/>
              <w:spacing w:line="320" w:lineRule="exact"/>
              <w:textAlignment w:val="auto"/>
              <w:rPr>
                <w:rFonts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第4.1.3条</w:t>
            </w:r>
          </w:p>
        </w:tc>
        <w:tc>
          <w:tcPr>
            <w:tcW w:w="2240" w:type="dxa"/>
            <w:tcBorders>
              <w:top w:val="single" w:color="000000" w:sz="4" w:space="0"/>
              <w:left w:val="single" w:color="000000" w:sz="4" w:space="0"/>
              <w:bottom w:val="single" w:color="000000" w:sz="4" w:space="0"/>
              <w:right w:val="single" w:color="000000" w:sz="4" w:space="0"/>
            </w:tcBorders>
            <w:noWrap w:val="0"/>
            <w:vAlign w:val="center"/>
          </w:tcPr>
          <w:p w14:paraId="3F052129">
            <w:pPr>
              <w:pStyle w:val="50"/>
              <w:keepNext w:val="0"/>
              <w:keepLines w:val="0"/>
              <w:pageBreakBefore w:val="0"/>
              <w:widowControl/>
              <w:kinsoku/>
              <w:wordWrap/>
              <w:overflowPunct/>
              <w:topLinePunct w:val="0"/>
              <w:autoSpaceDE/>
              <w:autoSpaceDN/>
              <w:bidi w:val="0"/>
              <w:adjustRightInd/>
              <w:snapToGrid/>
              <w:spacing w:line="320" w:lineRule="exact"/>
              <w:textAlignment w:val="auto"/>
              <w:rPr>
                <w:rFonts w:hint="default" w:eastAsia="宋体"/>
                <w:color w:val="auto"/>
                <w:lang w:val="en-US" w:eastAsia="zh-CN"/>
              </w:rPr>
            </w:pPr>
            <w:r>
              <w:rPr>
                <w:rFonts w:hint="eastAsia"/>
                <w:color w:val="auto"/>
              </w:rPr>
              <w:t>油罐</w:t>
            </w:r>
            <w:r>
              <w:rPr>
                <w:rFonts w:hint="eastAsia"/>
                <w:color w:val="auto"/>
                <w:lang w:val="en-US" w:eastAsia="zh-CN"/>
              </w:rPr>
              <w:t>采取了所述防爆措施</w:t>
            </w:r>
          </w:p>
        </w:tc>
        <w:tc>
          <w:tcPr>
            <w:tcW w:w="717" w:type="dxa"/>
            <w:tcBorders>
              <w:top w:val="single" w:color="000000" w:sz="4" w:space="0"/>
              <w:left w:val="single" w:color="000000" w:sz="4" w:space="0"/>
              <w:bottom w:val="single" w:color="000000" w:sz="4" w:space="0"/>
              <w:right w:val="single" w:color="000000" w:sz="4" w:space="0"/>
            </w:tcBorders>
            <w:noWrap w:val="0"/>
            <w:vAlign w:val="center"/>
          </w:tcPr>
          <w:p w14:paraId="4A8D1634">
            <w:pPr>
              <w:pStyle w:val="50"/>
              <w:keepNext w:val="0"/>
              <w:keepLines w:val="0"/>
              <w:pageBreakBefore w:val="0"/>
              <w:widowControl/>
              <w:kinsoku/>
              <w:wordWrap/>
              <w:overflowPunct/>
              <w:topLinePunct w:val="0"/>
              <w:autoSpaceDE/>
              <w:autoSpaceDN/>
              <w:bidi w:val="0"/>
              <w:adjustRightInd/>
              <w:snapToGrid/>
              <w:spacing w:line="320" w:lineRule="exact"/>
              <w:textAlignment w:val="auto"/>
              <w:rPr>
                <w:rFonts w:ascii="Times New Roman" w:hAnsi="Times New Roman" w:eastAsia="宋体"/>
                <w:color w:val="auto"/>
                <w:kern w:val="2"/>
                <w:sz w:val="21"/>
                <w:szCs w:val="21"/>
                <w:lang w:val="en-US" w:eastAsia="zh-CN" w:bidi="ar-SA"/>
              </w:rPr>
            </w:pPr>
            <w:r>
              <w:rPr>
                <w:color w:val="auto"/>
              </w:rPr>
              <w:t>符合</w:t>
            </w:r>
          </w:p>
        </w:tc>
      </w:tr>
      <w:tr w14:paraId="7FA2F650">
        <w:tblPrEx>
          <w:tblCellMar>
            <w:top w:w="0" w:type="dxa"/>
            <w:left w:w="108" w:type="dxa"/>
            <w:bottom w:w="0" w:type="dxa"/>
            <w:right w:w="108" w:type="dxa"/>
          </w:tblCellMar>
        </w:tblPrEx>
        <w:trPr>
          <w:trHeight w:val="454" w:hRule="atLeast"/>
          <w:jc w:val="center"/>
        </w:trPr>
        <w:tc>
          <w:tcPr>
            <w:tcW w:w="612" w:type="dxa"/>
            <w:tcBorders>
              <w:top w:val="single" w:color="000000" w:sz="4" w:space="0"/>
              <w:left w:val="single" w:color="000000" w:sz="4" w:space="0"/>
              <w:bottom w:val="single" w:color="000000" w:sz="4" w:space="0"/>
              <w:right w:val="single" w:color="000000" w:sz="4" w:space="0"/>
            </w:tcBorders>
            <w:noWrap w:val="0"/>
            <w:vAlign w:val="center"/>
          </w:tcPr>
          <w:p w14:paraId="705EE967">
            <w:pPr>
              <w:pStyle w:val="50"/>
              <w:keepNext w:val="0"/>
              <w:keepLines w:val="0"/>
              <w:pageBreakBefore w:val="0"/>
              <w:widowControl/>
              <w:kinsoku/>
              <w:wordWrap/>
              <w:overflowPunct/>
              <w:topLinePunct w:val="0"/>
              <w:autoSpaceDE/>
              <w:autoSpaceDN/>
              <w:bidi w:val="0"/>
              <w:adjustRightInd/>
              <w:snapToGrid/>
              <w:spacing w:line="320" w:lineRule="exact"/>
              <w:textAlignment w:val="auto"/>
              <w:rPr>
                <w:color w:val="auto"/>
              </w:rPr>
            </w:pPr>
            <w:r>
              <w:rPr>
                <w:color w:val="auto"/>
              </w:rPr>
              <w:t>4</w:t>
            </w:r>
          </w:p>
        </w:tc>
        <w:tc>
          <w:tcPr>
            <w:tcW w:w="3683" w:type="dxa"/>
            <w:tcBorders>
              <w:top w:val="single" w:color="000000" w:sz="4" w:space="0"/>
              <w:left w:val="single" w:color="000000" w:sz="4" w:space="0"/>
              <w:bottom w:val="single" w:color="000000" w:sz="4" w:space="0"/>
              <w:right w:val="single" w:color="000000" w:sz="4" w:space="0"/>
            </w:tcBorders>
            <w:noWrap w:val="0"/>
            <w:vAlign w:val="center"/>
          </w:tcPr>
          <w:p w14:paraId="59C0DBB8">
            <w:pPr>
              <w:pStyle w:val="50"/>
              <w:keepNext w:val="0"/>
              <w:keepLines w:val="0"/>
              <w:pageBreakBefore w:val="0"/>
              <w:widowControl/>
              <w:kinsoku/>
              <w:wordWrap/>
              <w:overflowPunct/>
              <w:topLinePunct w:val="0"/>
              <w:autoSpaceDE/>
              <w:autoSpaceDN/>
              <w:bidi w:val="0"/>
              <w:adjustRightInd/>
              <w:snapToGrid/>
              <w:spacing w:line="320" w:lineRule="exact"/>
              <w:jc w:val="both"/>
              <w:textAlignment w:val="auto"/>
              <w:rPr>
                <w:color w:val="auto"/>
              </w:rPr>
            </w:pPr>
            <w:r>
              <w:rPr>
                <w:rFonts w:hint="eastAsia"/>
                <w:color w:val="auto"/>
              </w:rPr>
              <w:t>内罐建造应符合GB/T 150、NB/T 47042</w:t>
            </w:r>
            <w:r>
              <w:rPr>
                <w:rFonts w:hint="eastAsia"/>
                <w:color w:val="auto"/>
                <w:lang w:eastAsia="zh-CN"/>
              </w:rPr>
              <w:t>、</w:t>
            </w:r>
            <w:r>
              <w:rPr>
                <w:rFonts w:hint="eastAsia"/>
                <w:color w:val="auto"/>
              </w:rPr>
              <w:t>SH/T3074和TSG 21的有关规定。</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14:paraId="5E1775A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橇装式汽车加油站技术标准</w:t>
            </w:r>
          </w:p>
          <w:p w14:paraId="7ACF3CC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SH/T3134-2023</w:t>
            </w:r>
          </w:p>
          <w:p w14:paraId="02E18162">
            <w:pPr>
              <w:pStyle w:val="50"/>
              <w:keepNext w:val="0"/>
              <w:keepLines w:val="0"/>
              <w:pageBreakBefore w:val="0"/>
              <w:widowControl/>
              <w:kinsoku/>
              <w:wordWrap/>
              <w:overflowPunct/>
              <w:topLinePunct w:val="0"/>
              <w:autoSpaceDE/>
              <w:autoSpaceDN/>
              <w:bidi w:val="0"/>
              <w:adjustRightInd/>
              <w:snapToGrid/>
              <w:spacing w:line="320" w:lineRule="exact"/>
              <w:textAlignment w:val="auto"/>
              <w:rPr>
                <w:rFonts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第4.1.4条</w:t>
            </w:r>
          </w:p>
        </w:tc>
        <w:tc>
          <w:tcPr>
            <w:tcW w:w="2240" w:type="dxa"/>
            <w:tcBorders>
              <w:top w:val="single" w:color="000000" w:sz="4" w:space="0"/>
              <w:left w:val="single" w:color="000000" w:sz="4" w:space="0"/>
              <w:bottom w:val="single" w:color="000000" w:sz="4" w:space="0"/>
              <w:right w:val="single" w:color="000000" w:sz="4" w:space="0"/>
            </w:tcBorders>
            <w:noWrap w:val="0"/>
            <w:vAlign w:val="center"/>
          </w:tcPr>
          <w:p w14:paraId="58F9639E">
            <w:pPr>
              <w:pStyle w:val="50"/>
              <w:keepNext w:val="0"/>
              <w:keepLines w:val="0"/>
              <w:pageBreakBefore w:val="0"/>
              <w:widowControl/>
              <w:kinsoku/>
              <w:wordWrap/>
              <w:overflowPunct/>
              <w:topLinePunct w:val="0"/>
              <w:autoSpaceDE/>
              <w:autoSpaceDN/>
              <w:bidi w:val="0"/>
              <w:adjustRightInd/>
              <w:snapToGrid/>
              <w:spacing w:line="320" w:lineRule="exact"/>
              <w:textAlignment w:val="auto"/>
              <w:rPr>
                <w:rFonts w:hint="default" w:eastAsia="宋体"/>
                <w:color w:val="auto"/>
                <w:lang w:val="en-US" w:eastAsia="zh-CN"/>
              </w:rPr>
            </w:pPr>
            <w:r>
              <w:rPr>
                <w:rFonts w:hint="eastAsia"/>
                <w:color w:val="auto"/>
              </w:rPr>
              <w:t>油罐</w:t>
            </w:r>
            <w:r>
              <w:rPr>
                <w:rFonts w:hint="eastAsia"/>
                <w:color w:val="auto"/>
                <w:lang w:val="en-US" w:eastAsia="zh-CN"/>
              </w:rPr>
              <w:t>符合所属规定</w:t>
            </w:r>
          </w:p>
        </w:tc>
        <w:tc>
          <w:tcPr>
            <w:tcW w:w="717" w:type="dxa"/>
            <w:tcBorders>
              <w:top w:val="single" w:color="000000" w:sz="4" w:space="0"/>
              <w:left w:val="single" w:color="000000" w:sz="4" w:space="0"/>
              <w:bottom w:val="single" w:color="000000" w:sz="4" w:space="0"/>
              <w:right w:val="single" w:color="000000" w:sz="4" w:space="0"/>
            </w:tcBorders>
            <w:noWrap w:val="0"/>
            <w:vAlign w:val="center"/>
          </w:tcPr>
          <w:p w14:paraId="69C6614A">
            <w:pPr>
              <w:pStyle w:val="50"/>
              <w:keepNext w:val="0"/>
              <w:keepLines w:val="0"/>
              <w:pageBreakBefore w:val="0"/>
              <w:widowControl/>
              <w:kinsoku/>
              <w:wordWrap/>
              <w:overflowPunct/>
              <w:topLinePunct w:val="0"/>
              <w:autoSpaceDE/>
              <w:autoSpaceDN/>
              <w:bidi w:val="0"/>
              <w:adjustRightInd/>
              <w:snapToGrid/>
              <w:spacing w:line="320" w:lineRule="exact"/>
              <w:textAlignment w:val="auto"/>
              <w:rPr>
                <w:rFonts w:ascii="Times New Roman" w:hAnsi="Times New Roman" w:eastAsia="宋体"/>
                <w:color w:val="auto"/>
                <w:kern w:val="2"/>
                <w:sz w:val="21"/>
                <w:szCs w:val="21"/>
                <w:lang w:val="en-US" w:eastAsia="zh-CN" w:bidi="ar-SA"/>
              </w:rPr>
            </w:pPr>
            <w:r>
              <w:rPr>
                <w:color w:val="auto"/>
              </w:rPr>
              <w:t>符合</w:t>
            </w:r>
          </w:p>
        </w:tc>
      </w:tr>
      <w:tr w14:paraId="31FD75EF">
        <w:tblPrEx>
          <w:tblCellMar>
            <w:top w:w="0" w:type="dxa"/>
            <w:left w:w="108" w:type="dxa"/>
            <w:bottom w:w="0" w:type="dxa"/>
            <w:right w:w="108" w:type="dxa"/>
          </w:tblCellMar>
        </w:tblPrEx>
        <w:trPr>
          <w:trHeight w:val="454" w:hRule="atLeast"/>
          <w:jc w:val="center"/>
        </w:trPr>
        <w:tc>
          <w:tcPr>
            <w:tcW w:w="612" w:type="dxa"/>
            <w:tcBorders>
              <w:top w:val="single" w:color="000000" w:sz="4" w:space="0"/>
              <w:left w:val="single" w:color="000000" w:sz="4" w:space="0"/>
              <w:bottom w:val="single" w:color="000000" w:sz="4" w:space="0"/>
              <w:right w:val="single" w:color="000000" w:sz="4" w:space="0"/>
            </w:tcBorders>
            <w:noWrap w:val="0"/>
            <w:vAlign w:val="center"/>
          </w:tcPr>
          <w:p w14:paraId="1F6B82F1">
            <w:pPr>
              <w:pStyle w:val="50"/>
              <w:keepNext w:val="0"/>
              <w:keepLines w:val="0"/>
              <w:pageBreakBefore w:val="0"/>
              <w:widowControl/>
              <w:kinsoku/>
              <w:wordWrap/>
              <w:overflowPunct/>
              <w:topLinePunct w:val="0"/>
              <w:autoSpaceDE/>
              <w:autoSpaceDN/>
              <w:bidi w:val="0"/>
              <w:adjustRightInd/>
              <w:snapToGrid/>
              <w:spacing w:line="320" w:lineRule="exact"/>
              <w:textAlignment w:val="auto"/>
              <w:rPr>
                <w:color w:val="auto"/>
              </w:rPr>
            </w:pPr>
            <w:r>
              <w:rPr>
                <w:color w:val="auto"/>
              </w:rPr>
              <w:t>5</w:t>
            </w:r>
          </w:p>
        </w:tc>
        <w:tc>
          <w:tcPr>
            <w:tcW w:w="3683" w:type="dxa"/>
            <w:tcBorders>
              <w:top w:val="single" w:color="000000" w:sz="4" w:space="0"/>
              <w:left w:val="single" w:color="000000" w:sz="4" w:space="0"/>
              <w:bottom w:val="single" w:color="000000" w:sz="4" w:space="0"/>
              <w:right w:val="single" w:color="000000" w:sz="4" w:space="0"/>
            </w:tcBorders>
            <w:noWrap w:val="0"/>
            <w:vAlign w:val="center"/>
          </w:tcPr>
          <w:p w14:paraId="7DB504B6">
            <w:pPr>
              <w:pStyle w:val="50"/>
              <w:keepNext w:val="0"/>
              <w:keepLines w:val="0"/>
              <w:pageBreakBefore w:val="0"/>
              <w:widowControl/>
              <w:kinsoku/>
              <w:wordWrap/>
              <w:overflowPunct/>
              <w:topLinePunct w:val="0"/>
              <w:autoSpaceDE/>
              <w:autoSpaceDN/>
              <w:bidi w:val="0"/>
              <w:adjustRightInd/>
              <w:snapToGrid/>
              <w:spacing w:line="320" w:lineRule="exact"/>
              <w:jc w:val="both"/>
              <w:textAlignment w:val="auto"/>
              <w:rPr>
                <w:rFonts w:hint="eastAsia" w:eastAsia="宋体"/>
                <w:color w:val="auto"/>
                <w:lang w:eastAsia="zh-CN"/>
              </w:rPr>
            </w:pPr>
            <w:r>
              <w:rPr>
                <w:rFonts w:hint="eastAsia"/>
                <w:color w:val="auto"/>
              </w:rPr>
              <w:t>外罐设计压力宜为常压，其建造应符合NB/T47003.1的有关规定</w:t>
            </w:r>
            <w:r>
              <w:rPr>
                <w:rFonts w:hint="eastAsia"/>
                <w:color w:val="auto"/>
                <w:lang w:eastAsia="zh-CN"/>
              </w:rPr>
              <w:t>。</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14:paraId="575442B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橇装式汽车加油站技术标准</w:t>
            </w:r>
          </w:p>
          <w:p w14:paraId="12FDFC9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SH/T3134-2023</w:t>
            </w:r>
          </w:p>
          <w:p w14:paraId="7C4BD23C">
            <w:pPr>
              <w:pStyle w:val="50"/>
              <w:keepNext w:val="0"/>
              <w:keepLines w:val="0"/>
              <w:pageBreakBefore w:val="0"/>
              <w:widowControl/>
              <w:kinsoku/>
              <w:wordWrap/>
              <w:overflowPunct/>
              <w:topLinePunct w:val="0"/>
              <w:autoSpaceDE/>
              <w:autoSpaceDN/>
              <w:bidi w:val="0"/>
              <w:adjustRightInd/>
              <w:snapToGrid/>
              <w:spacing w:line="320" w:lineRule="exact"/>
              <w:textAlignment w:val="auto"/>
              <w:rPr>
                <w:rFonts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第4.1.5条</w:t>
            </w:r>
          </w:p>
        </w:tc>
        <w:tc>
          <w:tcPr>
            <w:tcW w:w="2240" w:type="dxa"/>
            <w:tcBorders>
              <w:top w:val="single" w:color="000000" w:sz="4" w:space="0"/>
              <w:left w:val="single" w:color="000000" w:sz="4" w:space="0"/>
              <w:bottom w:val="single" w:color="000000" w:sz="4" w:space="0"/>
              <w:right w:val="single" w:color="000000" w:sz="4" w:space="0"/>
            </w:tcBorders>
            <w:noWrap w:val="0"/>
            <w:vAlign w:val="center"/>
          </w:tcPr>
          <w:p w14:paraId="1A988FCA">
            <w:pPr>
              <w:pStyle w:val="50"/>
              <w:keepNext w:val="0"/>
              <w:keepLines w:val="0"/>
              <w:pageBreakBefore w:val="0"/>
              <w:widowControl/>
              <w:kinsoku/>
              <w:wordWrap/>
              <w:overflowPunct/>
              <w:topLinePunct w:val="0"/>
              <w:autoSpaceDE/>
              <w:autoSpaceDN/>
              <w:bidi w:val="0"/>
              <w:adjustRightInd/>
              <w:snapToGrid/>
              <w:spacing w:line="320" w:lineRule="exact"/>
              <w:textAlignment w:val="auto"/>
              <w:rPr>
                <w:rFonts w:hint="default" w:eastAsia="宋体"/>
                <w:color w:val="auto"/>
                <w:lang w:val="en-US" w:eastAsia="zh-CN"/>
              </w:rPr>
            </w:pPr>
            <w:r>
              <w:rPr>
                <w:rFonts w:hint="eastAsia"/>
                <w:color w:val="auto"/>
              </w:rPr>
              <w:t>外罐设计压力为常压</w:t>
            </w:r>
            <w:r>
              <w:rPr>
                <w:rFonts w:hint="eastAsia"/>
                <w:color w:val="auto"/>
                <w:lang w:val="en-US" w:eastAsia="zh-CN"/>
              </w:rPr>
              <w:t>并符合有关规定</w:t>
            </w:r>
          </w:p>
        </w:tc>
        <w:tc>
          <w:tcPr>
            <w:tcW w:w="717" w:type="dxa"/>
            <w:tcBorders>
              <w:top w:val="single" w:color="000000" w:sz="4" w:space="0"/>
              <w:left w:val="single" w:color="000000" w:sz="4" w:space="0"/>
              <w:bottom w:val="single" w:color="000000" w:sz="4" w:space="0"/>
              <w:right w:val="single" w:color="000000" w:sz="4" w:space="0"/>
            </w:tcBorders>
            <w:noWrap w:val="0"/>
            <w:vAlign w:val="center"/>
          </w:tcPr>
          <w:p w14:paraId="0914818C">
            <w:pPr>
              <w:pStyle w:val="50"/>
              <w:keepNext w:val="0"/>
              <w:keepLines w:val="0"/>
              <w:pageBreakBefore w:val="0"/>
              <w:widowControl/>
              <w:kinsoku/>
              <w:wordWrap/>
              <w:overflowPunct/>
              <w:topLinePunct w:val="0"/>
              <w:autoSpaceDE/>
              <w:autoSpaceDN/>
              <w:bidi w:val="0"/>
              <w:adjustRightInd/>
              <w:snapToGrid/>
              <w:spacing w:line="320" w:lineRule="exact"/>
              <w:textAlignment w:val="auto"/>
              <w:rPr>
                <w:rFonts w:ascii="Times New Roman" w:hAnsi="Times New Roman" w:eastAsia="宋体"/>
                <w:color w:val="auto"/>
                <w:kern w:val="2"/>
                <w:sz w:val="21"/>
                <w:szCs w:val="21"/>
                <w:lang w:val="en-US" w:eastAsia="zh-CN" w:bidi="ar-SA"/>
              </w:rPr>
            </w:pPr>
            <w:r>
              <w:rPr>
                <w:color w:val="auto"/>
              </w:rPr>
              <w:t>符合</w:t>
            </w:r>
          </w:p>
        </w:tc>
      </w:tr>
      <w:tr w14:paraId="75C7D4D8">
        <w:tblPrEx>
          <w:tblCellMar>
            <w:top w:w="0" w:type="dxa"/>
            <w:left w:w="108" w:type="dxa"/>
            <w:bottom w:w="0" w:type="dxa"/>
            <w:right w:w="108" w:type="dxa"/>
          </w:tblCellMar>
        </w:tblPrEx>
        <w:trPr>
          <w:trHeight w:val="454" w:hRule="atLeast"/>
          <w:jc w:val="center"/>
        </w:trPr>
        <w:tc>
          <w:tcPr>
            <w:tcW w:w="612" w:type="dxa"/>
            <w:tcBorders>
              <w:top w:val="single" w:color="000000" w:sz="4" w:space="0"/>
              <w:left w:val="single" w:color="000000" w:sz="4" w:space="0"/>
              <w:bottom w:val="single" w:color="000000" w:sz="4" w:space="0"/>
              <w:right w:val="single" w:color="000000" w:sz="4" w:space="0"/>
            </w:tcBorders>
            <w:noWrap w:val="0"/>
            <w:vAlign w:val="center"/>
          </w:tcPr>
          <w:p w14:paraId="5E09EE01">
            <w:pPr>
              <w:pStyle w:val="50"/>
              <w:keepNext w:val="0"/>
              <w:keepLines w:val="0"/>
              <w:pageBreakBefore w:val="0"/>
              <w:widowControl/>
              <w:kinsoku/>
              <w:wordWrap/>
              <w:overflowPunct/>
              <w:topLinePunct w:val="0"/>
              <w:autoSpaceDE/>
              <w:autoSpaceDN/>
              <w:bidi w:val="0"/>
              <w:adjustRightInd/>
              <w:snapToGrid/>
              <w:spacing w:line="320" w:lineRule="exact"/>
              <w:textAlignment w:val="auto"/>
              <w:rPr>
                <w:color w:val="auto"/>
              </w:rPr>
            </w:pPr>
            <w:r>
              <w:rPr>
                <w:color w:val="auto"/>
              </w:rPr>
              <w:t>6</w:t>
            </w:r>
          </w:p>
        </w:tc>
        <w:tc>
          <w:tcPr>
            <w:tcW w:w="3683" w:type="dxa"/>
            <w:tcBorders>
              <w:top w:val="single" w:color="000000" w:sz="4" w:space="0"/>
              <w:left w:val="single" w:color="000000" w:sz="4" w:space="0"/>
              <w:bottom w:val="single" w:color="000000" w:sz="4" w:space="0"/>
              <w:right w:val="single" w:color="000000" w:sz="4" w:space="0"/>
            </w:tcBorders>
            <w:noWrap w:val="0"/>
            <w:vAlign w:val="center"/>
          </w:tcPr>
          <w:p w14:paraId="37C3FE98">
            <w:pPr>
              <w:pStyle w:val="50"/>
              <w:keepNext w:val="0"/>
              <w:keepLines w:val="0"/>
              <w:pageBreakBefore w:val="0"/>
              <w:widowControl/>
              <w:kinsoku/>
              <w:wordWrap/>
              <w:overflowPunct/>
              <w:topLinePunct w:val="0"/>
              <w:autoSpaceDE/>
              <w:autoSpaceDN/>
              <w:bidi w:val="0"/>
              <w:adjustRightInd/>
              <w:snapToGrid/>
              <w:spacing w:line="320" w:lineRule="exact"/>
              <w:jc w:val="both"/>
              <w:textAlignment w:val="auto"/>
              <w:rPr>
                <w:color w:val="auto"/>
              </w:rPr>
            </w:pPr>
            <w:r>
              <w:rPr>
                <w:rFonts w:hint="eastAsia"/>
                <w:color w:val="auto"/>
              </w:rPr>
              <w:t>油罐应设液位计和防溢流阀。液位计应在油罐内的液位上升到油罐容量的90%时发出报警信号,防溢流阀应在油罐内的液位上升到油罐容量的 95%时自动关闭。</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14:paraId="7F60B4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橇装式汽车加油站技术标准</w:t>
            </w:r>
          </w:p>
          <w:p w14:paraId="234FD6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SH/T3134-2023</w:t>
            </w:r>
          </w:p>
          <w:p w14:paraId="458A2EC8">
            <w:pPr>
              <w:pStyle w:val="50"/>
              <w:keepNext w:val="0"/>
              <w:keepLines w:val="0"/>
              <w:pageBreakBefore w:val="0"/>
              <w:widowControl/>
              <w:kinsoku/>
              <w:wordWrap/>
              <w:overflowPunct/>
              <w:topLinePunct w:val="0"/>
              <w:autoSpaceDE/>
              <w:autoSpaceDN/>
              <w:bidi w:val="0"/>
              <w:adjustRightInd/>
              <w:snapToGrid/>
              <w:spacing w:line="320" w:lineRule="exact"/>
              <w:textAlignment w:val="auto"/>
              <w:rPr>
                <w:rFonts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第4.1.6条</w:t>
            </w:r>
          </w:p>
        </w:tc>
        <w:tc>
          <w:tcPr>
            <w:tcW w:w="2240" w:type="dxa"/>
            <w:tcBorders>
              <w:top w:val="single" w:color="000000" w:sz="4" w:space="0"/>
              <w:left w:val="single" w:color="000000" w:sz="4" w:space="0"/>
              <w:bottom w:val="single" w:color="000000" w:sz="4" w:space="0"/>
              <w:right w:val="single" w:color="000000" w:sz="4" w:space="0"/>
            </w:tcBorders>
            <w:noWrap w:val="0"/>
            <w:vAlign w:val="center"/>
          </w:tcPr>
          <w:p w14:paraId="7BEFBB91">
            <w:pPr>
              <w:pStyle w:val="50"/>
              <w:keepNext w:val="0"/>
              <w:keepLines w:val="0"/>
              <w:pageBreakBefore w:val="0"/>
              <w:widowControl/>
              <w:kinsoku/>
              <w:wordWrap/>
              <w:overflowPunct/>
              <w:topLinePunct w:val="0"/>
              <w:autoSpaceDE/>
              <w:autoSpaceDN/>
              <w:bidi w:val="0"/>
              <w:adjustRightInd/>
              <w:snapToGrid/>
              <w:spacing w:line="320" w:lineRule="exact"/>
              <w:textAlignment w:val="auto"/>
              <w:rPr>
                <w:color w:val="auto"/>
              </w:rPr>
            </w:pPr>
            <w:r>
              <w:rPr>
                <w:rFonts w:hint="eastAsia"/>
                <w:color w:val="auto"/>
              </w:rPr>
              <w:t>油罐设液位计和防溢流阀</w:t>
            </w:r>
          </w:p>
        </w:tc>
        <w:tc>
          <w:tcPr>
            <w:tcW w:w="717" w:type="dxa"/>
            <w:tcBorders>
              <w:top w:val="single" w:color="000000" w:sz="4" w:space="0"/>
              <w:left w:val="single" w:color="000000" w:sz="4" w:space="0"/>
              <w:bottom w:val="single" w:color="000000" w:sz="4" w:space="0"/>
              <w:right w:val="single" w:color="000000" w:sz="4" w:space="0"/>
            </w:tcBorders>
            <w:noWrap w:val="0"/>
            <w:vAlign w:val="center"/>
          </w:tcPr>
          <w:p w14:paraId="28B854F0">
            <w:pPr>
              <w:pStyle w:val="50"/>
              <w:keepNext w:val="0"/>
              <w:keepLines w:val="0"/>
              <w:pageBreakBefore w:val="0"/>
              <w:widowControl/>
              <w:kinsoku/>
              <w:wordWrap/>
              <w:overflowPunct/>
              <w:topLinePunct w:val="0"/>
              <w:autoSpaceDE/>
              <w:autoSpaceDN/>
              <w:bidi w:val="0"/>
              <w:adjustRightInd/>
              <w:snapToGrid/>
              <w:spacing w:line="320" w:lineRule="exact"/>
              <w:textAlignment w:val="auto"/>
              <w:rPr>
                <w:rFonts w:ascii="Times New Roman" w:hAnsi="Times New Roman" w:eastAsia="宋体"/>
                <w:color w:val="auto"/>
                <w:kern w:val="2"/>
                <w:sz w:val="21"/>
                <w:szCs w:val="21"/>
                <w:lang w:val="en-US" w:eastAsia="zh-CN" w:bidi="ar-SA"/>
              </w:rPr>
            </w:pPr>
            <w:r>
              <w:rPr>
                <w:color w:val="auto"/>
              </w:rPr>
              <w:t>符合</w:t>
            </w:r>
          </w:p>
        </w:tc>
      </w:tr>
      <w:tr w14:paraId="02EDCF0D">
        <w:tblPrEx>
          <w:tblCellMar>
            <w:top w:w="0" w:type="dxa"/>
            <w:left w:w="108" w:type="dxa"/>
            <w:bottom w:w="0" w:type="dxa"/>
            <w:right w:w="108" w:type="dxa"/>
          </w:tblCellMar>
        </w:tblPrEx>
        <w:trPr>
          <w:trHeight w:val="454" w:hRule="atLeast"/>
          <w:jc w:val="center"/>
        </w:trPr>
        <w:tc>
          <w:tcPr>
            <w:tcW w:w="612" w:type="dxa"/>
            <w:tcBorders>
              <w:top w:val="single" w:color="000000" w:sz="4" w:space="0"/>
              <w:left w:val="single" w:color="000000" w:sz="4" w:space="0"/>
              <w:bottom w:val="single" w:color="000000" w:sz="4" w:space="0"/>
              <w:right w:val="single" w:color="000000" w:sz="4" w:space="0"/>
            </w:tcBorders>
            <w:noWrap w:val="0"/>
            <w:vAlign w:val="center"/>
          </w:tcPr>
          <w:p w14:paraId="3B9CCE4B">
            <w:pPr>
              <w:pStyle w:val="50"/>
              <w:keepNext w:val="0"/>
              <w:keepLines w:val="0"/>
              <w:pageBreakBefore w:val="0"/>
              <w:widowControl/>
              <w:kinsoku/>
              <w:wordWrap/>
              <w:overflowPunct/>
              <w:topLinePunct w:val="0"/>
              <w:autoSpaceDE/>
              <w:autoSpaceDN/>
              <w:bidi w:val="0"/>
              <w:adjustRightInd/>
              <w:snapToGrid/>
              <w:spacing w:line="320" w:lineRule="exact"/>
              <w:textAlignment w:val="auto"/>
              <w:rPr>
                <w:color w:val="auto"/>
              </w:rPr>
            </w:pPr>
            <w:r>
              <w:rPr>
                <w:color w:val="auto"/>
              </w:rPr>
              <w:t>7</w:t>
            </w:r>
          </w:p>
        </w:tc>
        <w:tc>
          <w:tcPr>
            <w:tcW w:w="3683" w:type="dxa"/>
            <w:tcBorders>
              <w:top w:val="single" w:color="000000" w:sz="4" w:space="0"/>
              <w:left w:val="single" w:color="000000" w:sz="4" w:space="0"/>
              <w:bottom w:val="single" w:color="000000" w:sz="4" w:space="0"/>
              <w:right w:val="single" w:color="000000" w:sz="4" w:space="0"/>
            </w:tcBorders>
            <w:noWrap w:val="0"/>
            <w:vAlign w:val="center"/>
          </w:tcPr>
          <w:p w14:paraId="6D3EF5D5">
            <w:pPr>
              <w:pStyle w:val="50"/>
              <w:keepNext w:val="0"/>
              <w:keepLines w:val="0"/>
              <w:pageBreakBefore w:val="0"/>
              <w:widowControl/>
              <w:kinsoku/>
              <w:wordWrap/>
              <w:overflowPunct/>
              <w:topLinePunct w:val="0"/>
              <w:autoSpaceDE/>
              <w:autoSpaceDN/>
              <w:bidi w:val="0"/>
              <w:adjustRightInd/>
              <w:snapToGrid/>
              <w:spacing w:line="320" w:lineRule="exact"/>
              <w:jc w:val="both"/>
              <w:textAlignment w:val="auto"/>
              <w:rPr>
                <w:color w:val="auto"/>
              </w:rPr>
            </w:pPr>
            <w:r>
              <w:rPr>
                <w:rFonts w:hint="eastAsia"/>
                <w:color w:val="auto"/>
              </w:rPr>
              <w:t>油罐应设紧急泄压装置，紧急泄压装置的开启</w:t>
            </w:r>
            <w:r>
              <w:rPr>
                <w:rFonts w:hint="eastAsia"/>
                <w:color w:val="auto"/>
                <w:lang w:eastAsia="zh-CN"/>
              </w:rPr>
              <w:t>压力</w:t>
            </w:r>
            <w:r>
              <w:rPr>
                <w:rFonts w:hint="eastAsia"/>
                <w:color w:val="auto"/>
              </w:rPr>
              <w:t>宜为 20kPa~3gkPa。</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14:paraId="1562366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橇装式汽车加油站技术标准</w:t>
            </w:r>
          </w:p>
          <w:p w14:paraId="5A9AF4D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SH/T3134-2023</w:t>
            </w:r>
          </w:p>
          <w:p w14:paraId="0EA274F9">
            <w:pPr>
              <w:pStyle w:val="50"/>
              <w:keepNext w:val="0"/>
              <w:keepLines w:val="0"/>
              <w:pageBreakBefore w:val="0"/>
              <w:widowControl/>
              <w:kinsoku/>
              <w:wordWrap/>
              <w:overflowPunct/>
              <w:topLinePunct w:val="0"/>
              <w:autoSpaceDE/>
              <w:autoSpaceDN/>
              <w:bidi w:val="0"/>
              <w:adjustRightInd/>
              <w:snapToGrid/>
              <w:spacing w:line="320" w:lineRule="exact"/>
              <w:textAlignment w:val="auto"/>
              <w:rPr>
                <w:rFonts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第4.1.7条</w:t>
            </w:r>
          </w:p>
        </w:tc>
        <w:tc>
          <w:tcPr>
            <w:tcW w:w="2240" w:type="dxa"/>
            <w:tcBorders>
              <w:top w:val="single" w:color="000000" w:sz="4" w:space="0"/>
              <w:left w:val="single" w:color="000000" w:sz="4" w:space="0"/>
              <w:bottom w:val="single" w:color="000000" w:sz="4" w:space="0"/>
              <w:right w:val="single" w:color="000000" w:sz="4" w:space="0"/>
            </w:tcBorders>
            <w:noWrap w:val="0"/>
            <w:vAlign w:val="center"/>
          </w:tcPr>
          <w:p w14:paraId="1C45CF6C">
            <w:pPr>
              <w:pStyle w:val="50"/>
              <w:keepNext w:val="0"/>
              <w:keepLines w:val="0"/>
              <w:pageBreakBefore w:val="0"/>
              <w:widowControl/>
              <w:kinsoku/>
              <w:wordWrap/>
              <w:overflowPunct/>
              <w:topLinePunct w:val="0"/>
              <w:autoSpaceDE/>
              <w:autoSpaceDN/>
              <w:bidi w:val="0"/>
              <w:adjustRightInd/>
              <w:snapToGrid/>
              <w:spacing w:line="320" w:lineRule="exact"/>
              <w:textAlignment w:val="auto"/>
              <w:rPr>
                <w:rFonts w:hint="default" w:eastAsia="宋体"/>
                <w:color w:val="auto"/>
                <w:lang w:val="en-US" w:eastAsia="zh-CN"/>
              </w:rPr>
            </w:pPr>
            <w:r>
              <w:rPr>
                <w:rFonts w:hint="eastAsia"/>
                <w:color w:val="auto"/>
                <w:lang w:val="en-US" w:eastAsia="zh-CN"/>
              </w:rPr>
              <w:t>该项目油罐设置紧急泄压装置</w:t>
            </w:r>
          </w:p>
        </w:tc>
        <w:tc>
          <w:tcPr>
            <w:tcW w:w="717" w:type="dxa"/>
            <w:tcBorders>
              <w:top w:val="single" w:color="000000" w:sz="4" w:space="0"/>
              <w:left w:val="single" w:color="000000" w:sz="4" w:space="0"/>
              <w:bottom w:val="single" w:color="000000" w:sz="4" w:space="0"/>
              <w:right w:val="single" w:color="000000" w:sz="4" w:space="0"/>
            </w:tcBorders>
            <w:noWrap w:val="0"/>
            <w:vAlign w:val="center"/>
          </w:tcPr>
          <w:p w14:paraId="1EF6D3EE">
            <w:pPr>
              <w:pStyle w:val="50"/>
              <w:keepNext w:val="0"/>
              <w:keepLines w:val="0"/>
              <w:pageBreakBefore w:val="0"/>
              <w:widowControl/>
              <w:kinsoku/>
              <w:wordWrap/>
              <w:overflowPunct/>
              <w:topLinePunct w:val="0"/>
              <w:autoSpaceDE/>
              <w:autoSpaceDN/>
              <w:bidi w:val="0"/>
              <w:adjustRightInd/>
              <w:snapToGrid/>
              <w:spacing w:line="320" w:lineRule="exact"/>
              <w:textAlignment w:val="auto"/>
              <w:rPr>
                <w:rFonts w:ascii="Times New Roman" w:hAnsi="Times New Roman" w:eastAsia="宋体"/>
                <w:color w:val="auto"/>
                <w:kern w:val="2"/>
                <w:sz w:val="21"/>
                <w:szCs w:val="21"/>
                <w:lang w:val="en-US" w:eastAsia="zh-CN" w:bidi="ar-SA"/>
              </w:rPr>
            </w:pPr>
            <w:r>
              <w:rPr>
                <w:color w:val="auto"/>
              </w:rPr>
              <w:t>符合</w:t>
            </w:r>
          </w:p>
        </w:tc>
      </w:tr>
      <w:tr w14:paraId="14D023D8">
        <w:tblPrEx>
          <w:tblCellMar>
            <w:top w:w="0" w:type="dxa"/>
            <w:left w:w="108" w:type="dxa"/>
            <w:bottom w:w="0" w:type="dxa"/>
            <w:right w:w="108" w:type="dxa"/>
          </w:tblCellMar>
        </w:tblPrEx>
        <w:trPr>
          <w:trHeight w:val="454" w:hRule="atLeast"/>
          <w:jc w:val="center"/>
        </w:trPr>
        <w:tc>
          <w:tcPr>
            <w:tcW w:w="612" w:type="dxa"/>
            <w:tcBorders>
              <w:top w:val="single" w:color="000000" w:sz="4" w:space="0"/>
              <w:left w:val="single" w:color="000000" w:sz="4" w:space="0"/>
              <w:bottom w:val="single" w:color="000000" w:sz="4" w:space="0"/>
              <w:right w:val="single" w:color="000000" w:sz="4" w:space="0"/>
            </w:tcBorders>
            <w:noWrap w:val="0"/>
            <w:vAlign w:val="center"/>
          </w:tcPr>
          <w:p w14:paraId="48119773">
            <w:pPr>
              <w:pStyle w:val="50"/>
              <w:keepNext w:val="0"/>
              <w:keepLines w:val="0"/>
              <w:pageBreakBefore w:val="0"/>
              <w:widowControl/>
              <w:kinsoku/>
              <w:wordWrap/>
              <w:overflowPunct/>
              <w:topLinePunct w:val="0"/>
              <w:autoSpaceDE/>
              <w:autoSpaceDN/>
              <w:bidi w:val="0"/>
              <w:adjustRightInd/>
              <w:snapToGrid/>
              <w:spacing w:line="320" w:lineRule="exact"/>
              <w:textAlignment w:val="auto"/>
              <w:rPr>
                <w:color w:val="auto"/>
              </w:rPr>
            </w:pPr>
            <w:r>
              <w:rPr>
                <w:color w:val="auto"/>
              </w:rPr>
              <w:t>8</w:t>
            </w:r>
          </w:p>
        </w:tc>
        <w:tc>
          <w:tcPr>
            <w:tcW w:w="3683" w:type="dxa"/>
            <w:tcBorders>
              <w:top w:val="single" w:color="000000" w:sz="4" w:space="0"/>
              <w:left w:val="single" w:color="000000" w:sz="4" w:space="0"/>
              <w:bottom w:val="single" w:color="000000" w:sz="4" w:space="0"/>
              <w:right w:val="single" w:color="000000" w:sz="4" w:space="0"/>
            </w:tcBorders>
            <w:noWrap w:val="0"/>
            <w:vAlign w:val="center"/>
          </w:tcPr>
          <w:p w14:paraId="79F579E1">
            <w:pPr>
              <w:pStyle w:val="50"/>
              <w:keepNext w:val="0"/>
              <w:keepLines w:val="0"/>
              <w:pageBreakBefore w:val="0"/>
              <w:widowControl/>
              <w:kinsoku/>
              <w:wordWrap/>
              <w:overflowPunct/>
              <w:topLinePunct w:val="0"/>
              <w:autoSpaceDE/>
              <w:autoSpaceDN/>
              <w:bidi w:val="0"/>
              <w:adjustRightInd/>
              <w:snapToGrid/>
              <w:spacing w:line="320" w:lineRule="exact"/>
              <w:jc w:val="both"/>
              <w:textAlignment w:val="auto"/>
              <w:rPr>
                <w:rFonts w:hint="eastAsia"/>
                <w:color w:val="auto"/>
              </w:rPr>
            </w:pPr>
            <w:r>
              <w:rPr>
                <w:rFonts w:hint="eastAsia"/>
                <w:color w:val="auto"/>
              </w:rPr>
              <w:t>油罐</w:t>
            </w:r>
            <w:r>
              <w:rPr>
                <w:rFonts w:hint="eastAsia"/>
                <w:color w:val="auto"/>
                <w:lang w:eastAsia="zh-CN"/>
              </w:rPr>
              <w:t>应</w:t>
            </w:r>
            <w:r>
              <w:rPr>
                <w:rFonts w:hint="eastAsia"/>
                <w:color w:val="auto"/>
              </w:rPr>
              <w:t>采取隔热或防晒措施，</w:t>
            </w:r>
          </w:p>
          <w:p w14:paraId="7788B9D4">
            <w:pPr>
              <w:pStyle w:val="50"/>
              <w:keepNext w:val="0"/>
              <w:keepLines w:val="0"/>
              <w:pageBreakBefore w:val="0"/>
              <w:widowControl/>
              <w:kinsoku/>
              <w:wordWrap/>
              <w:overflowPunct/>
              <w:topLinePunct w:val="0"/>
              <w:autoSpaceDE/>
              <w:autoSpaceDN/>
              <w:bidi w:val="0"/>
              <w:adjustRightInd/>
              <w:snapToGrid/>
              <w:spacing w:line="320" w:lineRule="exact"/>
              <w:jc w:val="both"/>
              <w:textAlignment w:val="auto"/>
              <w:rPr>
                <w:rFonts w:hint="eastAsia" w:eastAsia="宋体"/>
                <w:color w:val="auto"/>
                <w:lang w:eastAsia="zh-CN"/>
              </w:rPr>
            </w:pPr>
            <w:r>
              <w:rPr>
                <w:rFonts w:hint="eastAsia"/>
                <w:color w:val="auto"/>
              </w:rPr>
              <w:t>隔热材料应为不燃材料</w:t>
            </w:r>
            <w:r>
              <w:rPr>
                <w:rFonts w:hint="eastAsia"/>
                <w:color w:val="auto"/>
                <w:lang w:eastAsia="zh-CN"/>
              </w:rPr>
              <w:t>。</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14:paraId="549C882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橇装式汽车加油站技术标准</w:t>
            </w:r>
          </w:p>
          <w:p w14:paraId="698C284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SH/T3134-2023</w:t>
            </w:r>
          </w:p>
          <w:p w14:paraId="7F904099">
            <w:pPr>
              <w:pStyle w:val="50"/>
              <w:keepNext w:val="0"/>
              <w:keepLines w:val="0"/>
              <w:pageBreakBefore w:val="0"/>
              <w:widowControl/>
              <w:kinsoku/>
              <w:wordWrap/>
              <w:overflowPunct/>
              <w:topLinePunct w:val="0"/>
              <w:autoSpaceDE/>
              <w:autoSpaceDN/>
              <w:bidi w:val="0"/>
              <w:adjustRightInd/>
              <w:snapToGrid/>
              <w:spacing w:line="320" w:lineRule="exact"/>
              <w:textAlignment w:val="auto"/>
              <w:rPr>
                <w:rFonts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第4.1.8条</w:t>
            </w:r>
          </w:p>
        </w:tc>
        <w:tc>
          <w:tcPr>
            <w:tcW w:w="2240" w:type="dxa"/>
            <w:tcBorders>
              <w:top w:val="single" w:color="000000" w:sz="4" w:space="0"/>
              <w:left w:val="single" w:color="000000" w:sz="4" w:space="0"/>
              <w:bottom w:val="single" w:color="000000" w:sz="4" w:space="0"/>
              <w:right w:val="single" w:color="000000" w:sz="4" w:space="0"/>
            </w:tcBorders>
            <w:noWrap w:val="0"/>
            <w:vAlign w:val="center"/>
          </w:tcPr>
          <w:p w14:paraId="40473F77">
            <w:pPr>
              <w:pStyle w:val="50"/>
              <w:keepNext w:val="0"/>
              <w:keepLines w:val="0"/>
              <w:pageBreakBefore w:val="0"/>
              <w:widowControl/>
              <w:kinsoku/>
              <w:wordWrap/>
              <w:overflowPunct/>
              <w:topLinePunct w:val="0"/>
              <w:autoSpaceDE/>
              <w:autoSpaceDN/>
              <w:bidi w:val="0"/>
              <w:adjustRightInd/>
              <w:snapToGrid/>
              <w:spacing w:line="320" w:lineRule="exact"/>
              <w:textAlignment w:val="auto"/>
              <w:rPr>
                <w:rFonts w:hint="eastAsia" w:eastAsia="宋体"/>
                <w:color w:val="auto"/>
                <w:lang w:val="en-US" w:eastAsia="zh-CN"/>
              </w:rPr>
            </w:pPr>
            <w:r>
              <w:rPr>
                <w:rFonts w:hint="eastAsia"/>
                <w:color w:val="auto"/>
              </w:rPr>
              <w:t>油罐</w:t>
            </w:r>
            <w:r>
              <w:rPr>
                <w:rFonts w:hint="eastAsia"/>
                <w:color w:val="auto"/>
                <w:lang w:val="en-US" w:eastAsia="zh-CN"/>
              </w:rPr>
              <w:t>有</w:t>
            </w:r>
            <w:r>
              <w:rPr>
                <w:rFonts w:hint="eastAsia"/>
                <w:color w:val="auto"/>
              </w:rPr>
              <w:t>隔热</w:t>
            </w:r>
          </w:p>
        </w:tc>
        <w:tc>
          <w:tcPr>
            <w:tcW w:w="717" w:type="dxa"/>
            <w:tcBorders>
              <w:top w:val="single" w:color="000000" w:sz="4" w:space="0"/>
              <w:left w:val="single" w:color="000000" w:sz="4" w:space="0"/>
              <w:bottom w:val="single" w:color="000000" w:sz="4" w:space="0"/>
              <w:right w:val="single" w:color="000000" w:sz="4" w:space="0"/>
            </w:tcBorders>
            <w:noWrap w:val="0"/>
            <w:vAlign w:val="center"/>
          </w:tcPr>
          <w:p w14:paraId="02A4E81C">
            <w:pPr>
              <w:pStyle w:val="50"/>
              <w:keepNext w:val="0"/>
              <w:keepLines w:val="0"/>
              <w:pageBreakBefore w:val="0"/>
              <w:widowControl/>
              <w:kinsoku/>
              <w:wordWrap/>
              <w:overflowPunct/>
              <w:topLinePunct w:val="0"/>
              <w:autoSpaceDE/>
              <w:autoSpaceDN/>
              <w:bidi w:val="0"/>
              <w:adjustRightInd/>
              <w:snapToGrid/>
              <w:spacing w:line="320" w:lineRule="exact"/>
              <w:textAlignment w:val="auto"/>
              <w:rPr>
                <w:rFonts w:ascii="Times New Roman" w:hAnsi="Times New Roman" w:eastAsia="宋体"/>
                <w:color w:val="auto"/>
                <w:kern w:val="2"/>
                <w:sz w:val="21"/>
                <w:szCs w:val="21"/>
                <w:lang w:val="en-US" w:eastAsia="zh-CN" w:bidi="ar-SA"/>
              </w:rPr>
            </w:pPr>
            <w:r>
              <w:rPr>
                <w:color w:val="auto"/>
              </w:rPr>
              <w:t>符合</w:t>
            </w:r>
          </w:p>
        </w:tc>
      </w:tr>
      <w:tr w14:paraId="5FBAD9C7">
        <w:tblPrEx>
          <w:tblCellMar>
            <w:top w:w="0" w:type="dxa"/>
            <w:left w:w="108" w:type="dxa"/>
            <w:bottom w:w="0" w:type="dxa"/>
            <w:right w:w="108" w:type="dxa"/>
          </w:tblCellMar>
        </w:tblPrEx>
        <w:trPr>
          <w:trHeight w:val="454" w:hRule="atLeast"/>
          <w:jc w:val="center"/>
        </w:trPr>
        <w:tc>
          <w:tcPr>
            <w:tcW w:w="612" w:type="dxa"/>
            <w:tcBorders>
              <w:top w:val="single" w:color="000000" w:sz="4" w:space="0"/>
              <w:left w:val="single" w:color="000000" w:sz="4" w:space="0"/>
              <w:bottom w:val="single" w:color="000000" w:sz="4" w:space="0"/>
              <w:right w:val="single" w:color="000000" w:sz="4" w:space="0"/>
            </w:tcBorders>
            <w:noWrap w:val="0"/>
            <w:vAlign w:val="center"/>
          </w:tcPr>
          <w:p w14:paraId="74236A07">
            <w:pPr>
              <w:pStyle w:val="50"/>
              <w:keepNext w:val="0"/>
              <w:keepLines w:val="0"/>
              <w:pageBreakBefore w:val="0"/>
              <w:widowControl/>
              <w:kinsoku/>
              <w:wordWrap/>
              <w:overflowPunct/>
              <w:topLinePunct w:val="0"/>
              <w:autoSpaceDE/>
              <w:autoSpaceDN/>
              <w:bidi w:val="0"/>
              <w:adjustRightInd/>
              <w:snapToGrid/>
              <w:spacing w:line="320" w:lineRule="exact"/>
              <w:textAlignment w:val="auto"/>
              <w:rPr>
                <w:color w:val="auto"/>
              </w:rPr>
            </w:pPr>
            <w:r>
              <w:rPr>
                <w:color w:val="auto"/>
              </w:rPr>
              <w:t>9</w:t>
            </w:r>
          </w:p>
        </w:tc>
        <w:tc>
          <w:tcPr>
            <w:tcW w:w="3683" w:type="dxa"/>
            <w:tcBorders>
              <w:top w:val="single" w:color="000000" w:sz="4" w:space="0"/>
              <w:left w:val="single" w:color="000000" w:sz="4" w:space="0"/>
              <w:bottom w:val="single" w:color="000000" w:sz="4" w:space="0"/>
              <w:right w:val="single" w:color="000000" w:sz="4" w:space="0"/>
            </w:tcBorders>
            <w:noWrap w:val="0"/>
            <w:vAlign w:val="center"/>
          </w:tcPr>
          <w:p w14:paraId="170DCE6E">
            <w:pPr>
              <w:pStyle w:val="50"/>
              <w:keepNext w:val="0"/>
              <w:keepLines w:val="0"/>
              <w:pageBreakBefore w:val="0"/>
              <w:widowControl/>
              <w:kinsoku/>
              <w:wordWrap/>
              <w:overflowPunct/>
              <w:topLinePunct w:val="0"/>
              <w:autoSpaceDE/>
              <w:autoSpaceDN/>
              <w:bidi w:val="0"/>
              <w:adjustRightInd/>
              <w:snapToGrid/>
              <w:spacing w:line="320" w:lineRule="exact"/>
              <w:jc w:val="both"/>
              <w:textAlignment w:val="auto"/>
              <w:rPr>
                <w:color w:val="auto"/>
              </w:rPr>
            </w:pPr>
            <w:r>
              <w:rPr>
                <w:rFonts w:hint="eastAsia"/>
                <w:color w:val="auto"/>
              </w:rPr>
              <w:t>外罐与防护层之间不得有油气积聚的空间。</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14:paraId="30B1071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橇装式汽车加油站技术标准</w:t>
            </w:r>
          </w:p>
          <w:p w14:paraId="5129C6A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SH/T3134-2023</w:t>
            </w:r>
          </w:p>
          <w:p w14:paraId="30DCD852">
            <w:pPr>
              <w:pStyle w:val="50"/>
              <w:keepNext w:val="0"/>
              <w:keepLines w:val="0"/>
              <w:pageBreakBefore w:val="0"/>
              <w:widowControl/>
              <w:kinsoku/>
              <w:wordWrap/>
              <w:overflowPunct/>
              <w:topLinePunct w:val="0"/>
              <w:autoSpaceDE/>
              <w:autoSpaceDN/>
              <w:bidi w:val="0"/>
              <w:adjustRightInd/>
              <w:snapToGrid/>
              <w:spacing w:line="320" w:lineRule="exact"/>
              <w:textAlignment w:val="auto"/>
              <w:rPr>
                <w:rFonts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第4.1.9条</w:t>
            </w:r>
          </w:p>
        </w:tc>
        <w:tc>
          <w:tcPr>
            <w:tcW w:w="2240" w:type="dxa"/>
            <w:tcBorders>
              <w:top w:val="single" w:color="000000" w:sz="4" w:space="0"/>
              <w:left w:val="single" w:color="000000" w:sz="4" w:space="0"/>
              <w:bottom w:val="single" w:color="000000" w:sz="4" w:space="0"/>
              <w:right w:val="single" w:color="000000" w:sz="4" w:space="0"/>
            </w:tcBorders>
            <w:noWrap w:val="0"/>
            <w:vAlign w:val="center"/>
          </w:tcPr>
          <w:p w14:paraId="74701872">
            <w:pPr>
              <w:pStyle w:val="50"/>
              <w:keepNext w:val="0"/>
              <w:keepLines w:val="0"/>
              <w:pageBreakBefore w:val="0"/>
              <w:widowControl/>
              <w:kinsoku/>
              <w:wordWrap/>
              <w:overflowPunct/>
              <w:topLinePunct w:val="0"/>
              <w:autoSpaceDE/>
              <w:autoSpaceDN/>
              <w:bidi w:val="0"/>
              <w:adjustRightInd/>
              <w:snapToGrid/>
              <w:spacing w:line="320" w:lineRule="exact"/>
              <w:textAlignment w:val="auto"/>
              <w:rPr>
                <w:color w:val="auto"/>
              </w:rPr>
            </w:pPr>
            <w:r>
              <w:rPr>
                <w:rFonts w:hint="eastAsia"/>
                <w:color w:val="auto"/>
              </w:rPr>
              <w:t>外罐与防护层之间</w:t>
            </w:r>
            <w:r>
              <w:rPr>
                <w:rFonts w:hint="eastAsia"/>
                <w:color w:val="auto"/>
                <w:lang w:val="en-US" w:eastAsia="zh-CN"/>
              </w:rPr>
              <w:t>没</w:t>
            </w:r>
            <w:r>
              <w:rPr>
                <w:rFonts w:hint="eastAsia"/>
                <w:color w:val="auto"/>
              </w:rPr>
              <w:t>有油气积聚的空间</w:t>
            </w:r>
          </w:p>
        </w:tc>
        <w:tc>
          <w:tcPr>
            <w:tcW w:w="717" w:type="dxa"/>
            <w:tcBorders>
              <w:top w:val="single" w:color="000000" w:sz="4" w:space="0"/>
              <w:left w:val="single" w:color="000000" w:sz="4" w:space="0"/>
              <w:bottom w:val="single" w:color="000000" w:sz="4" w:space="0"/>
              <w:right w:val="single" w:color="000000" w:sz="4" w:space="0"/>
            </w:tcBorders>
            <w:noWrap w:val="0"/>
            <w:vAlign w:val="center"/>
          </w:tcPr>
          <w:p w14:paraId="6F51B379">
            <w:pPr>
              <w:pStyle w:val="50"/>
              <w:keepNext w:val="0"/>
              <w:keepLines w:val="0"/>
              <w:pageBreakBefore w:val="0"/>
              <w:widowControl/>
              <w:kinsoku/>
              <w:wordWrap/>
              <w:overflowPunct/>
              <w:topLinePunct w:val="0"/>
              <w:autoSpaceDE/>
              <w:autoSpaceDN/>
              <w:bidi w:val="0"/>
              <w:adjustRightInd/>
              <w:snapToGrid/>
              <w:spacing w:line="320" w:lineRule="exact"/>
              <w:textAlignment w:val="auto"/>
              <w:rPr>
                <w:rFonts w:ascii="Times New Roman" w:hAnsi="Times New Roman" w:eastAsia="宋体"/>
                <w:color w:val="auto"/>
                <w:kern w:val="2"/>
                <w:sz w:val="21"/>
                <w:szCs w:val="21"/>
                <w:lang w:val="en-US" w:eastAsia="zh-CN" w:bidi="ar-SA"/>
              </w:rPr>
            </w:pPr>
            <w:r>
              <w:rPr>
                <w:color w:val="auto"/>
              </w:rPr>
              <w:t>符合</w:t>
            </w:r>
          </w:p>
        </w:tc>
      </w:tr>
      <w:tr w14:paraId="163C5590">
        <w:tblPrEx>
          <w:tblCellMar>
            <w:top w:w="0" w:type="dxa"/>
            <w:left w:w="108" w:type="dxa"/>
            <w:bottom w:w="0" w:type="dxa"/>
            <w:right w:w="108" w:type="dxa"/>
          </w:tblCellMar>
        </w:tblPrEx>
        <w:trPr>
          <w:trHeight w:val="454" w:hRule="atLeast"/>
          <w:jc w:val="center"/>
        </w:trPr>
        <w:tc>
          <w:tcPr>
            <w:tcW w:w="612" w:type="dxa"/>
            <w:tcBorders>
              <w:top w:val="single" w:color="000000" w:sz="4" w:space="0"/>
              <w:left w:val="single" w:color="000000" w:sz="4" w:space="0"/>
              <w:bottom w:val="single" w:color="000000" w:sz="4" w:space="0"/>
              <w:right w:val="single" w:color="000000" w:sz="4" w:space="0"/>
            </w:tcBorders>
            <w:noWrap w:val="0"/>
            <w:vAlign w:val="center"/>
          </w:tcPr>
          <w:p w14:paraId="71ABD603">
            <w:pPr>
              <w:pStyle w:val="50"/>
              <w:keepNext w:val="0"/>
              <w:keepLines w:val="0"/>
              <w:pageBreakBefore w:val="0"/>
              <w:widowControl/>
              <w:kinsoku/>
              <w:wordWrap/>
              <w:overflowPunct/>
              <w:topLinePunct w:val="0"/>
              <w:autoSpaceDE/>
              <w:autoSpaceDN/>
              <w:bidi w:val="0"/>
              <w:adjustRightInd/>
              <w:snapToGrid/>
              <w:spacing w:line="320" w:lineRule="exact"/>
              <w:textAlignment w:val="auto"/>
              <w:rPr>
                <w:color w:val="auto"/>
              </w:rPr>
            </w:pPr>
            <w:r>
              <w:rPr>
                <w:color w:val="auto"/>
              </w:rPr>
              <w:t>10</w:t>
            </w:r>
          </w:p>
        </w:tc>
        <w:tc>
          <w:tcPr>
            <w:tcW w:w="3683" w:type="dxa"/>
            <w:tcBorders>
              <w:top w:val="single" w:color="000000" w:sz="4" w:space="0"/>
              <w:left w:val="single" w:color="000000" w:sz="4" w:space="0"/>
              <w:bottom w:val="single" w:color="000000" w:sz="4" w:space="0"/>
              <w:right w:val="single" w:color="000000" w:sz="4" w:space="0"/>
            </w:tcBorders>
            <w:noWrap w:val="0"/>
            <w:vAlign w:val="center"/>
          </w:tcPr>
          <w:p w14:paraId="70DF546D">
            <w:pPr>
              <w:pStyle w:val="50"/>
              <w:keepNext w:val="0"/>
              <w:keepLines w:val="0"/>
              <w:pageBreakBefore w:val="0"/>
              <w:widowControl/>
              <w:kinsoku/>
              <w:wordWrap/>
              <w:overflowPunct/>
              <w:topLinePunct w:val="0"/>
              <w:autoSpaceDE/>
              <w:autoSpaceDN/>
              <w:bidi w:val="0"/>
              <w:adjustRightInd/>
              <w:snapToGrid/>
              <w:spacing w:line="320" w:lineRule="exact"/>
              <w:jc w:val="both"/>
              <w:textAlignment w:val="auto"/>
              <w:rPr>
                <w:color w:val="auto"/>
              </w:rPr>
            </w:pPr>
            <w:r>
              <w:rPr>
                <w:rFonts w:hint="eastAsia"/>
                <w:color w:val="auto"/>
              </w:rPr>
              <w:t>油罐应采用上部进油方式，进油管应伸至罐内距罐底50mm~100mm处。当进油管接头设在下部，进油管的高点应高于油罐的最高液位。进油管应采取防虹吸措施。卸油软管接头应采用自闭式快速接头。</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14:paraId="73CA869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橇装式汽车加油站技术标准</w:t>
            </w:r>
          </w:p>
          <w:p w14:paraId="500B987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SH/T3134-2023</w:t>
            </w:r>
          </w:p>
          <w:p w14:paraId="65A36162">
            <w:pPr>
              <w:pStyle w:val="50"/>
              <w:keepNext w:val="0"/>
              <w:keepLines w:val="0"/>
              <w:pageBreakBefore w:val="0"/>
              <w:widowControl/>
              <w:kinsoku/>
              <w:wordWrap/>
              <w:overflowPunct/>
              <w:topLinePunct w:val="0"/>
              <w:autoSpaceDE/>
              <w:autoSpaceDN/>
              <w:bidi w:val="0"/>
              <w:adjustRightInd/>
              <w:snapToGrid/>
              <w:spacing w:line="320" w:lineRule="exact"/>
              <w:textAlignment w:val="auto"/>
              <w:rPr>
                <w:rFonts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第4.1.10条</w:t>
            </w:r>
          </w:p>
        </w:tc>
        <w:tc>
          <w:tcPr>
            <w:tcW w:w="2240" w:type="dxa"/>
            <w:tcBorders>
              <w:top w:val="single" w:color="000000" w:sz="4" w:space="0"/>
              <w:left w:val="single" w:color="000000" w:sz="4" w:space="0"/>
              <w:bottom w:val="single" w:color="000000" w:sz="4" w:space="0"/>
              <w:right w:val="single" w:color="000000" w:sz="4" w:space="0"/>
            </w:tcBorders>
            <w:noWrap w:val="0"/>
            <w:vAlign w:val="center"/>
          </w:tcPr>
          <w:p w14:paraId="5DACF5C2">
            <w:pPr>
              <w:pStyle w:val="50"/>
              <w:keepNext w:val="0"/>
              <w:keepLines w:val="0"/>
              <w:pageBreakBefore w:val="0"/>
              <w:widowControl/>
              <w:kinsoku/>
              <w:wordWrap/>
              <w:overflowPunct/>
              <w:topLinePunct w:val="0"/>
              <w:autoSpaceDE/>
              <w:autoSpaceDN/>
              <w:bidi w:val="0"/>
              <w:adjustRightInd/>
              <w:snapToGrid/>
              <w:spacing w:line="320" w:lineRule="exact"/>
              <w:textAlignment w:val="auto"/>
              <w:rPr>
                <w:color w:val="auto"/>
              </w:rPr>
            </w:pPr>
            <w:r>
              <w:rPr>
                <w:rFonts w:hint="eastAsia"/>
                <w:color w:val="auto"/>
                <w:highlight w:val="none"/>
              </w:rPr>
              <w:t>油罐进油管接头设在下部，进油管的高点高于油罐的最高液位。进油管采取防虹吸措施。卸油软管接头采用自闭式快速接头。</w:t>
            </w:r>
          </w:p>
        </w:tc>
        <w:tc>
          <w:tcPr>
            <w:tcW w:w="717" w:type="dxa"/>
            <w:tcBorders>
              <w:top w:val="single" w:color="000000" w:sz="4" w:space="0"/>
              <w:left w:val="single" w:color="000000" w:sz="4" w:space="0"/>
              <w:bottom w:val="single" w:color="000000" w:sz="4" w:space="0"/>
              <w:right w:val="single" w:color="000000" w:sz="4" w:space="0"/>
            </w:tcBorders>
            <w:noWrap w:val="0"/>
            <w:vAlign w:val="center"/>
          </w:tcPr>
          <w:p w14:paraId="02E4F692">
            <w:pPr>
              <w:pStyle w:val="50"/>
              <w:keepNext w:val="0"/>
              <w:keepLines w:val="0"/>
              <w:pageBreakBefore w:val="0"/>
              <w:widowControl/>
              <w:kinsoku/>
              <w:wordWrap/>
              <w:overflowPunct/>
              <w:topLinePunct w:val="0"/>
              <w:autoSpaceDE/>
              <w:autoSpaceDN/>
              <w:bidi w:val="0"/>
              <w:adjustRightInd/>
              <w:snapToGrid/>
              <w:spacing w:line="320" w:lineRule="exact"/>
              <w:textAlignment w:val="auto"/>
              <w:rPr>
                <w:rFonts w:ascii="Times New Roman" w:hAnsi="Times New Roman" w:eastAsia="宋体"/>
                <w:color w:val="auto"/>
                <w:kern w:val="2"/>
                <w:sz w:val="21"/>
                <w:szCs w:val="21"/>
                <w:lang w:val="en-US" w:eastAsia="zh-CN" w:bidi="ar-SA"/>
              </w:rPr>
            </w:pPr>
            <w:r>
              <w:rPr>
                <w:color w:val="auto"/>
              </w:rPr>
              <w:t>符合</w:t>
            </w:r>
          </w:p>
        </w:tc>
      </w:tr>
      <w:tr w14:paraId="4AB81314">
        <w:tblPrEx>
          <w:tblCellMar>
            <w:top w:w="0" w:type="dxa"/>
            <w:left w:w="108" w:type="dxa"/>
            <w:bottom w:w="0" w:type="dxa"/>
            <w:right w:w="108" w:type="dxa"/>
          </w:tblCellMar>
        </w:tblPrEx>
        <w:trPr>
          <w:trHeight w:val="454" w:hRule="atLeast"/>
          <w:jc w:val="center"/>
        </w:trPr>
        <w:tc>
          <w:tcPr>
            <w:tcW w:w="612" w:type="dxa"/>
            <w:tcBorders>
              <w:top w:val="single" w:color="000000" w:sz="4" w:space="0"/>
              <w:left w:val="single" w:color="000000" w:sz="4" w:space="0"/>
              <w:bottom w:val="single" w:color="000000" w:sz="4" w:space="0"/>
              <w:right w:val="single" w:color="000000" w:sz="4" w:space="0"/>
            </w:tcBorders>
            <w:noWrap w:val="0"/>
            <w:vAlign w:val="center"/>
          </w:tcPr>
          <w:p w14:paraId="009A57D6">
            <w:pPr>
              <w:pStyle w:val="50"/>
              <w:bidi w:val="0"/>
              <w:rPr>
                <w:color w:val="auto"/>
              </w:rPr>
            </w:pPr>
            <w:r>
              <w:rPr>
                <w:color w:val="auto"/>
              </w:rPr>
              <w:t>11</w:t>
            </w:r>
          </w:p>
        </w:tc>
        <w:tc>
          <w:tcPr>
            <w:tcW w:w="3683" w:type="dxa"/>
            <w:tcBorders>
              <w:top w:val="single" w:color="000000" w:sz="4" w:space="0"/>
              <w:left w:val="single" w:color="000000" w:sz="4" w:space="0"/>
              <w:bottom w:val="single" w:color="000000" w:sz="4" w:space="0"/>
              <w:right w:val="single" w:color="000000" w:sz="4" w:space="0"/>
            </w:tcBorders>
            <w:noWrap w:val="0"/>
            <w:vAlign w:val="center"/>
          </w:tcPr>
          <w:p w14:paraId="5BE6BAB0">
            <w:pPr>
              <w:pStyle w:val="50"/>
              <w:bidi w:val="0"/>
              <w:jc w:val="both"/>
              <w:rPr>
                <w:rFonts w:hint="eastAsia"/>
                <w:color w:val="auto"/>
              </w:rPr>
            </w:pPr>
            <w:r>
              <w:rPr>
                <w:rFonts w:hint="eastAsia"/>
                <w:color w:val="auto"/>
              </w:rPr>
              <w:t>油罐出油管管口距罐底宜为150mm。</w:t>
            </w:r>
          </w:p>
          <w:p w14:paraId="6D06C4EC">
            <w:pPr>
              <w:pStyle w:val="50"/>
              <w:bidi w:val="0"/>
              <w:jc w:val="both"/>
              <w:rPr>
                <w:color w:val="auto"/>
              </w:rPr>
            </w:pPr>
            <w:r>
              <w:rPr>
                <w:rFonts w:hint="eastAsia"/>
                <w:color w:val="auto"/>
              </w:rPr>
              <w:t>油罐出油管的高点应高于油罐的最高液位。</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14:paraId="166900E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橇装式汽车加油站技术标准</w:t>
            </w:r>
          </w:p>
          <w:p w14:paraId="5A71A17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SH/T3134-2023</w:t>
            </w:r>
          </w:p>
          <w:p w14:paraId="4D253115">
            <w:pPr>
              <w:pStyle w:val="50"/>
              <w:keepNext w:val="0"/>
              <w:keepLines w:val="0"/>
              <w:pageBreakBefore w:val="0"/>
              <w:widowControl/>
              <w:kinsoku/>
              <w:wordWrap/>
              <w:overflowPunct/>
              <w:topLinePunct w:val="0"/>
              <w:autoSpaceDE/>
              <w:autoSpaceDN/>
              <w:bidi w:val="0"/>
              <w:adjustRightInd/>
              <w:snapToGrid/>
              <w:spacing w:line="280" w:lineRule="exact"/>
              <w:textAlignment w:val="auto"/>
              <w:rPr>
                <w:rFonts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第4.1.11条</w:t>
            </w:r>
          </w:p>
        </w:tc>
        <w:tc>
          <w:tcPr>
            <w:tcW w:w="2240" w:type="dxa"/>
            <w:tcBorders>
              <w:top w:val="single" w:color="000000" w:sz="4" w:space="0"/>
              <w:left w:val="single" w:color="000000" w:sz="4" w:space="0"/>
              <w:bottom w:val="single" w:color="000000" w:sz="4" w:space="0"/>
              <w:right w:val="single" w:color="000000" w:sz="4" w:space="0"/>
            </w:tcBorders>
            <w:noWrap w:val="0"/>
            <w:vAlign w:val="center"/>
          </w:tcPr>
          <w:p w14:paraId="1DF81A90">
            <w:pPr>
              <w:pStyle w:val="50"/>
              <w:bidi w:val="0"/>
              <w:jc w:val="both"/>
              <w:rPr>
                <w:rFonts w:ascii="Times New Roman" w:hAnsi="Times New Roman" w:eastAsia="宋体"/>
                <w:color w:val="auto"/>
                <w:kern w:val="2"/>
                <w:sz w:val="21"/>
                <w:szCs w:val="21"/>
                <w:lang w:val="en-US" w:eastAsia="zh-CN" w:bidi="ar-SA"/>
              </w:rPr>
            </w:pPr>
            <w:r>
              <w:rPr>
                <w:rFonts w:hint="eastAsia"/>
                <w:color w:val="auto"/>
              </w:rPr>
              <w:t>油罐出油管管口距罐底为150mm。油罐出油管的高点高于油罐的最高液位。</w:t>
            </w:r>
          </w:p>
        </w:tc>
        <w:tc>
          <w:tcPr>
            <w:tcW w:w="717" w:type="dxa"/>
            <w:tcBorders>
              <w:top w:val="single" w:color="000000" w:sz="4" w:space="0"/>
              <w:left w:val="single" w:color="000000" w:sz="4" w:space="0"/>
              <w:bottom w:val="single" w:color="000000" w:sz="4" w:space="0"/>
              <w:right w:val="single" w:color="000000" w:sz="4" w:space="0"/>
            </w:tcBorders>
            <w:noWrap w:val="0"/>
            <w:vAlign w:val="center"/>
          </w:tcPr>
          <w:p w14:paraId="65DBFA3D">
            <w:pPr>
              <w:pStyle w:val="50"/>
              <w:bidi w:val="0"/>
              <w:rPr>
                <w:rFonts w:ascii="Times New Roman" w:hAnsi="Times New Roman" w:eastAsia="宋体"/>
                <w:color w:val="auto"/>
                <w:kern w:val="2"/>
                <w:sz w:val="21"/>
                <w:szCs w:val="21"/>
                <w:lang w:val="en-US" w:eastAsia="zh-CN" w:bidi="ar-SA"/>
              </w:rPr>
            </w:pPr>
            <w:r>
              <w:rPr>
                <w:color w:val="auto"/>
              </w:rPr>
              <w:t>符合</w:t>
            </w:r>
          </w:p>
        </w:tc>
      </w:tr>
      <w:tr w14:paraId="7B33DE7C">
        <w:tblPrEx>
          <w:tblCellMar>
            <w:top w:w="0" w:type="dxa"/>
            <w:left w:w="108" w:type="dxa"/>
            <w:bottom w:w="0" w:type="dxa"/>
            <w:right w:w="108" w:type="dxa"/>
          </w:tblCellMar>
        </w:tblPrEx>
        <w:trPr>
          <w:trHeight w:val="454" w:hRule="atLeast"/>
          <w:jc w:val="center"/>
        </w:trPr>
        <w:tc>
          <w:tcPr>
            <w:tcW w:w="612" w:type="dxa"/>
            <w:tcBorders>
              <w:top w:val="single" w:color="000000" w:sz="4" w:space="0"/>
              <w:left w:val="single" w:color="000000" w:sz="4" w:space="0"/>
              <w:right w:val="single" w:color="000000" w:sz="4" w:space="0"/>
            </w:tcBorders>
            <w:noWrap w:val="0"/>
            <w:vAlign w:val="center"/>
          </w:tcPr>
          <w:p w14:paraId="72ADEC32">
            <w:pPr>
              <w:pStyle w:val="50"/>
              <w:bidi w:val="0"/>
              <w:rPr>
                <w:color w:val="auto"/>
              </w:rPr>
            </w:pPr>
            <w:r>
              <w:rPr>
                <w:color w:val="auto"/>
              </w:rPr>
              <w:t>12</w:t>
            </w:r>
          </w:p>
        </w:tc>
        <w:tc>
          <w:tcPr>
            <w:tcW w:w="3683" w:type="dxa"/>
            <w:tcBorders>
              <w:top w:val="single" w:color="000000" w:sz="4" w:space="0"/>
              <w:left w:val="single" w:color="000000" w:sz="4" w:space="0"/>
              <w:right w:val="single" w:color="000000" w:sz="4" w:space="0"/>
            </w:tcBorders>
            <w:noWrap w:val="0"/>
            <w:vAlign w:val="center"/>
          </w:tcPr>
          <w:p w14:paraId="3253F9C3">
            <w:pPr>
              <w:pStyle w:val="50"/>
              <w:bidi w:val="0"/>
              <w:jc w:val="both"/>
              <w:rPr>
                <w:color w:val="auto"/>
              </w:rPr>
            </w:pPr>
            <w:r>
              <w:rPr>
                <w:rFonts w:hint="eastAsia"/>
                <w:color w:val="auto"/>
              </w:rPr>
              <w:t>4.1.12 油罐的最高液位以下有连接法兰和快速接头的区域应采取收集漏油的措施。</w:t>
            </w:r>
          </w:p>
        </w:tc>
        <w:tc>
          <w:tcPr>
            <w:tcW w:w="1819" w:type="dxa"/>
            <w:tcBorders>
              <w:top w:val="single" w:color="000000" w:sz="4" w:space="0"/>
              <w:left w:val="single" w:color="000000" w:sz="4" w:space="0"/>
              <w:right w:val="single" w:color="000000" w:sz="4" w:space="0"/>
            </w:tcBorders>
            <w:noWrap w:val="0"/>
            <w:vAlign w:val="center"/>
          </w:tcPr>
          <w:p w14:paraId="2B07998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橇装式汽车加油站技术标准</w:t>
            </w:r>
          </w:p>
          <w:p w14:paraId="62AFC2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SH/T3134-2023</w:t>
            </w:r>
          </w:p>
          <w:p w14:paraId="6607286F">
            <w:pPr>
              <w:pStyle w:val="50"/>
              <w:keepNext w:val="0"/>
              <w:keepLines w:val="0"/>
              <w:pageBreakBefore w:val="0"/>
              <w:widowControl/>
              <w:kinsoku/>
              <w:wordWrap/>
              <w:overflowPunct/>
              <w:topLinePunct w:val="0"/>
              <w:autoSpaceDE/>
              <w:autoSpaceDN/>
              <w:bidi w:val="0"/>
              <w:adjustRightInd/>
              <w:snapToGrid/>
              <w:spacing w:line="280" w:lineRule="exact"/>
              <w:textAlignment w:val="auto"/>
              <w:rPr>
                <w:rFonts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第4.1.12条</w:t>
            </w:r>
          </w:p>
        </w:tc>
        <w:tc>
          <w:tcPr>
            <w:tcW w:w="2240" w:type="dxa"/>
            <w:tcBorders>
              <w:top w:val="single" w:color="000000" w:sz="4" w:space="0"/>
              <w:left w:val="single" w:color="000000" w:sz="4" w:space="0"/>
              <w:bottom w:val="single" w:color="000000" w:sz="4" w:space="0"/>
              <w:right w:val="single" w:color="000000" w:sz="4" w:space="0"/>
            </w:tcBorders>
            <w:noWrap w:val="0"/>
            <w:vAlign w:val="center"/>
          </w:tcPr>
          <w:p w14:paraId="4992A024">
            <w:pPr>
              <w:pStyle w:val="50"/>
              <w:bidi w:val="0"/>
              <w:rPr>
                <w:color w:val="auto"/>
              </w:rPr>
            </w:pPr>
            <w:r>
              <w:rPr>
                <w:rFonts w:hint="eastAsia"/>
                <w:color w:val="auto"/>
              </w:rPr>
              <w:t>油罐的最高液位以下有连接法兰和快速接头的区域采取收集漏油的措施。</w:t>
            </w:r>
          </w:p>
        </w:tc>
        <w:tc>
          <w:tcPr>
            <w:tcW w:w="717" w:type="dxa"/>
            <w:tcBorders>
              <w:top w:val="single" w:color="000000" w:sz="4" w:space="0"/>
              <w:left w:val="single" w:color="000000" w:sz="4" w:space="0"/>
              <w:bottom w:val="single" w:color="000000" w:sz="4" w:space="0"/>
              <w:right w:val="single" w:color="000000" w:sz="4" w:space="0"/>
            </w:tcBorders>
            <w:noWrap w:val="0"/>
            <w:vAlign w:val="center"/>
          </w:tcPr>
          <w:p w14:paraId="342C4576">
            <w:pPr>
              <w:pStyle w:val="50"/>
              <w:bidi w:val="0"/>
              <w:rPr>
                <w:rFonts w:ascii="Times New Roman" w:hAnsi="Times New Roman" w:eastAsia="宋体"/>
                <w:color w:val="auto"/>
                <w:kern w:val="2"/>
                <w:sz w:val="21"/>
                <w:szCs w:val="21"/>
                <w:lang w:val="en-US" w:eastAsia="zh-CN" w:bidi="ar-SA"/>
              </w:rPr>
            </w:pPr>
            <w:r>
              <w:rPr>
                <w:color w:val="auto"/>
              </w:rPr>
              <w:t>符合</w:t>
            </w:r>
          </w:p>
        </w:tc>
      </w:tr>
      <w:tr w14:paraId="7146B64F">
        <w:tblPrEx>
          <w:tblCellMar>
            <w:top w:w="0" w:type="dxa"/>
            <w:left w:w="108" w:type="dxa"/>
            <w:bottom w:w="0" w:type="dxa"/>
            <w:right w:w="108" w:type="dxa"/>
          </w:tblCellMar>
        </w:tblPrEx>
        <w:trPr>
          <w:trHeight w:val="454" w:hRule="atLeast"/>
          <w:jc w:val="center"/>
        </w:trPr>
        <w:tc>
          <w:tcPr>
            <w:tcW w:w="612" w:type="dxa"/>
            <w:tcBorders>
              <w:top w:val="single" w:color="000000" w:sz="4" w:space="0"/>
              <w:left w:val="single" w:color="000000" w:sz="4" w:space="0"/>
              <w:bottom w:val="single" w:color="000000" w:sz="4" w:space="0"/>
              <w:right w:val="single" w:color="000000" w:sz="4" w:space="0"/>
            </w:tcBorders>
            <w:noWrap w:val="0"/>
            <w:vAlign w:val="center"/>
          </w:tcPr>
          <w:p w14:paraId="1271D0C6">
            <w:pPr>
              <w:pStyle w:val="50"/>
              <w:bidi w:val="0"/>
              <w:rPr>
                <w:color w:val="auto"/>
              </w:rPr>
            </w:pPr>
            <w:r>
              <w:rPr>
                <w:color w:val="auto"/>
              </w:rPr>
              <w:t>13</w:t>
            </w:r>
          </w:p>
        </w:tc>
        <w:tc>
          <w:tcPr>
            <w:tcW w:w="3683" w:type="dxa"/>
            <w:tcBorders>
              <w:top w:val="single" w:color="000000" w:sz="4" w:space="0"/>
              <w:left w:val="single" w:color="000000" w:sz="4" w:space="0"/>
              <w:bottom w:val="single" w:color="000000" w:sz="4" w:space="0"/>
              <w:right w:val="single" w:color="000000" w:sz="4" w:space="0"/>
            </w:tcBorders>
            <w:noWrap w:val="0"/>
            <w:vAlign w:val="center"/>
          </w:tcPr>
          <w:p w14:paraId="00B5DE43">
            <w:pPr>
              <w:pStyle w:val="50"/>
              <w:bidi w:val="0"/>
              <w:jc w:val="both"/>
              <w:rPr>
                <w:color w:val="auto"/>
              </w:rPr>
            </w:pPr>
            <w:r>
              <w:rPr>
                <w:rFonts w:hint="eastAsia"/>
                <w:color w:val="auto"/>
              </w:rPr>
              <w:t>油罐通气管管口应高于油罐周围地面4m，且应高于罐顶1.5m，管口应设阻火器和呼吸阀。呼吸阀的工作正压宜为2kPa~3kPa，工作负压宜为-2kPa~-1.5kPa。</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14:paraId="1F6AFAC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橇装式汽车加油站技术标准</w:t>
            </w:r>
          </w:p>
          <w:p w14:paraId="43E0B40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SH/T3134-2023</w:t>
            </w:r>
          </w:p>
          <w:p w14:paraId="43427B2C">
            <w:pPr>
              <w:pStyle w:val="50"/>
              <w:keepNext w:val="0"/>
              <w:keepLines w:val="0"/>
              <w:pageBreakBefore w:val="0"/>
              <w:widowControl/>
              <w:kinsoku/>
              <w:wordWrap/>
              <w:overflowPunct/>
              <w:topLinePunct w:val="0"/>
              <w:autoSpaceDE/>
              <w:autoSpaceDN/>
              <w:bidi w:val="0"/>
              <w:adjustRightInd/>
              <w:snapToGrid/>
              <w:spacing w:line="280" w:lineRule="exact"/>
              <w:textAlignment w:val="auto"/>
              <w:rPr>
                <w:rFonts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第4.1.3条</w:t>
            </w:r>
          </w:p>
        </w:tc>
        <w:tc>
          <w:tcPr>
            <w:tcW w:w="2240" w:type="dxa"/>
            <w:tcBorders>
              <w:top w:val="single" w:color="000000" w:sz="4" w:space="0"/>
              <w:left w:val="single" w:color="000000" w:sz="4" w:space="0"/>
              <w:bottom w:val="single" w:color="000000" w:sz="4" w:space="0"/>
              <w:right w:val="single" w:color="000000" w:sz="4" w:space="0"/>
            </w:tcBorders>
            <w:noWrap w:val="0"/>
            <w:vAlign w:val="center"/>
          </w:tcPr>
          <w:p w14:paraId="0B399B1F">
            <w:pPr>
              <w:pStyle w:val="50"/>
              <w:bidi w:val="0"/>
              <w:rPr>
                <w:color w:val="auto"/>
              </w:rPr>
            </w:pPr>
            <w:r>
              <w:rPr>
                <w:rFonts w:hint="eastAsia"/>
                <w:color w:val="auto"/>
              </w:rPr>
              <w:t>油罐通气管管口高于油罐周围地面4m，且高于罐顶1.5m，管口设阻火器。</w:t>
            </w:r>
          </w:p>
        </w:tc>
        <w:tc>
          <w:tcPr>
            <w:tcW w:w="717" w:type="dxa"/>
            <w:tcBorders>
              <w:top w:val="single" w:color="000000" w:sz="4" w:space="0"/>
              <w:left w:val="single" w:color="000000" w:sz="4" w:space="0"/>
              <w:bottom w:val="single" w:color="000000" w:sz="4" w:space="0"/>
              <w:right w:val="single" w:color="000000" w:sz="4" w:space="0"/>
            </w:tcBorders>
            <w:noWrap w:val="0"/>
            <w:vAlign w:val="center"/>
          </w:tcPr>
          <w:p w14:paraId="37DBD4F6">
            <w:pPr>
              <w:pStyle w:val="50"/>
              <w:bidi w:val="0"/>
              <w:rPr>
                <w:rFonts w:ascii="Times New Roman" w:hAnsi="Times New Roman" w:eastAsia="宋体"/>
                <w:color w:val="auto"/>
                <w:kern w:val="2"/>
                <w:sz w:val="21"/>
                <w:szCs w:val="21"/>
                <w:lang w:val="en-US" w:eastAsia="zh-CN" w:bidi="ar-SA"/>
              </w:rPr>
            </w:pPr>
            <w:r>
              <w:rPr>
                <w:color w:val="auto"/>
              </w:rPr>
              <w:t>符合</w:t>
            </w:r>
          </w:p>
        </w:tc>
      </w:tr>
      <w:tr w14:paraId="59E94CCF">
        <w:tblPrEx>
          <w:tblCellMar>
            <w:top w:w="0" w:type="dxa"/>
            <w:left w:w="108" w:type="dxa"/>
            <w:bottom w:w="0" w:type="dxa"/>
            <w:right w:w="108" w:type="dxa"/>
          </w:tblCellMar>
        </w:tblPrEx>
        <w:trPr>
          <w:trHeight w:val="454" w:hRule="atLeast"/>
          <w:jc w:val="center"/>
        </w:trPr>
        <w:tc>
          <w:tcPr>
            <w:tcW w:w="612" w:type="dxa"/>
            <w:tcBorders>
              <w:top w:val="single" w:color="000000" w:sz="4" w:space="0"/>
              <w:left w:val="single" w:color="000000" w:sz="4" w:space="0"/>
              <w:bottom w:val="single" w:color="000000" w:sz="4" w:space="0"/>
              <w:right w:val="single" w:color="000000" w:sz="4" w:space="0"/>
            </w:tcBorders>
            <w:noWrap w:val="0"/>
            <w:vAlign w:val="center"/>
          </w:tcPr>
          <w:p w14:paraId="61A5AAF6">
            <w:pPr>
              <w:pStyle w:val="50"/>
              <w:bidi w:val="0"/>
              <w:rPr>
                <w:rFonts w:hint="default" w:eastAsia="宋体"/>
                <w:color w:val="auto"/>
                <w:lang w:val="en-US" w:eastAsia="zh-CN"/>
              </w:rPr>
            </w:pPr>
            <w:bookmarkStart w:id="105" w:name="_Toc455498309"/>
            <w:r>
              <w:rPr>
                <w:rFonts w:hint="eastAsia"/>
                <w:color w:val="auto"/>
                <w:lang w:val="en-US" w:eastAsia="zh-CN"/>
              </w:rPr>
              <w:t>14</w:t>
            </w:r>
          </w:p>
        </w:tc>
        <w:tc>
          <w:tcPr>
            <w:tcW w:w="3683" w:type="dxa"/>
            <w:tcBorders>
              <w:top w:val="single" w:color="000000" w:sz="4" w:space="0"/>
              <w:left w:val="single" w:color="000000" w:sz="4" w:space="0"/>
              <w:bottom w:val="single" w:color="000000" w:sz="4" w:space="0"/>
              <w:right w:val="single" w:color="000000" w:sz="4" w:space="0"/>
            </w:tcBorders>
            <w:noWrap w:val="0"/>
            <w:vAlign w:val="center"/>
          </w:tcPr>
          <w:p w14:paraId="0524A014">
            <w:pPr>
              <w:pStyle w:val="50"/>
              <w:bidi w:val="0"/>
              <w:jc w:val="both"/>
              <w:rPr>
                <w:rFonts w:hint="eastAsia"/>
                <w:color w:val="auto"/>
              </w:rPr>
            </w:pPr>
            <w:r>
              <w:rPr>
                <w:rFonts w:hint="eastAsia"/>
                <w:color w:val="auto"/>
              </w:rPr>
              <w:t>油罐应进行压力试验，内罐的压力试验应符合 GB/T 150、NB/T 47042 和 SH/T 3074 的有关规定，外罐的压力试验应符合 GB 50156 的有关规定。</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14:paraId="3542D3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橇装式汽车加油站技术标准</w:t>
            </w:r>
          </w:p>
          <w:p w14:paraId="2ECD70B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SH/T3134-2023</w:t>
            </w:r>
          </w:p>
          <w:p w14:paraId="09C6EB52">
            <w:pPr>
              <w:pStyle w:val="50"/>
              <w:keepNext w:val="0"/>
              <w:keepLines w:val="0"/>
              <w:pageBreakBefore w:val="0"/>
              <w:widowControl/>
              <w:kinsoku/>
              <w:wordWrap/>
              <w:overflowPunct/>
              <w:topLinePunct w:val="0"/>
              <w:autoSpaceDE/>
              <w:autoSpaceDN/>
              <w:bidi w:val="0"/>
              <w:adjustRightInd/>
              <w:snapToGrid/>
              <w:spacing w:line="280" w:lineRule="exact"/>
              <w:textAlignment w:val="auto"/>
              <w:rPr>
                <w:rFonts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第4.1.14条</w:t>
            </w:r>
          </w:p>
        </w:tc>
        <w:tc>
          <w:tcPr>
            <w:tcW w:w="2240" w:type="dxa"/>
            <w:tcBorders>
              <w:top w:val="single" w:color="000000" w:sz="4" w:space="0"/>
              <w:left w:val="single" w:color="000000" w:sz="4" w:space="0"/>
              <w:bottom w:val="single" w:color="000000" w:sz="4" w:space="0"/>
              <w:right w:val="single" w:color="000000" w:sz="4" w:space="0"/>
            </w:tcBorders>
            <w:noWrap w:val="0"/>
            <w:vAlign w:val="center"/>
          </w:tcPr>
          <w:p w14:paraId="0A7100BF">
            <w:pPr>
              <w:pStyle w:val="50"/>
              <w:bidi w:val="0"/>
              <w:rPr>
                <w:rFonts w:hint="default" w:eastAsia="宋体"/>
                <w:color w:val="auto"/>
                <w:lang w:val="en-US" w:eastAsia="zh-CN"/>
              </w:rPr>
            </w:pPr>
            <w:r>
              <w:rPr>
                <w:rFonts w:hint="eastAsia"/>
                <w:color w:val="auto"/>
              </w:rPr>
              <w:t>油罐进行压力试验</w:t>
            </w:r>
            <w:r>
              <w:rPr>
                <w:rFonts w:hint="eastAsia"/>
                <w:color w:val="auto"/>
                <w:lang w:val="en-US" w:eastAsia="zh-CN"/>
              </w:rPr>
              <w:t>并符合有关规定，见附件</w:t>
            </w:r>
          </w:p>
        </w:tc>
        <w:tc>
          <w:tcPr>
            <w:tcW w:w="717" w:type="dxa"/>
            <w:tcBorders>
              <w:top w:val="single" w:color="000000" w:sz="4" w:space="0"/>
              <w:left w:val="single" w:color="000000" w:sz="4" w:space="0"/>
              <w:bottom w:val="single" w:color="000000" w:sz="4" w:space="0"/>
              <w:right w:val="single" w:color="000000" w:sz="4" w:space="0"/>
            </w:tcBorders>
            <w:noWrap w:val="0"/>
            <w:vAlign w:val="center"/>
          </w:tcPr>
          <w:p w14:paraId="5B428A99">
            <w:pPr>
              <w:pStyle w:val="50"/>
              <w:bidi w:val="0"/>
              <w:rPr>
                <w:rFonts w:hint="eastAsia" w:eastAsia="宋体"/>
                <w:color w:val="auto"/>
                <w:lang w:val="en-US" w:eastAsia="zh-CN"/>
              </w:rPr>
            </w:pPr>
            <w:r>
              <w:rPr>
                <w:rFonts w:hint="eastAsia"/>
                <w:color w:val="auto"/>
                <w:lang w:val="en-US" w:eastAsia="zh-CN"/>
              </w:rPr>
              <w:t>符合</w:t>
            </w:r>
          </w:p>
        </w:tc>
      </w:tr>
      <w:tr w14:paraId="75AA0255">
        <w:tblPrEx>
          <w:tblCellMar>
            <w:top w:w="0" w:type="dxa"/>
            <w:left w:w="108" w:type="dxa"/>
            <w:bottom w:w="0" w:type="dxa"/>
            <w:right w:w="108" w:type="dxa"/>
          </w:tblCellMar>
        </w:tblPrEx>
        <w:trPr>
          <w:trHeight w:val="454" w:hRule="atLeast"/>
          <w:jc w:val="center"/>
        </w:trPr>
        <w:tc>
          <w:tcPr>
            <w:tcW w:w="612" w:type="dxa"/>
            <w:tcBorders>
              <w:top w:val="single" w:color="000000" w:sz="4" w:space="0"/>
              <w:left w:val="single" w:color="000000" w:sz="4" w:space="0"/>
              <w:bottom w:val="single" w:color="000000" w:sz="4" w:space="0"/>
              <w:right w:val="single" w:color="000000" w:sz="4" w:space="0"/>
            </w:tcBorders>
            <w:noWrap w:val="0"/>
            <w:vAlign w:val="center"/>
          </w:tcPr>
          <w:p w14:paraId="6820D435">
            <w:pPr>
              <w:pStyle w:val="50"/>
              <w:bidi w:val="0"/>
              <w:rPr>
                <w:rFonts w:hint="default" w:eastAsia="宋体"/>
                <w:color w:val="auto"/>
                <w:lang w:val="en-US" w:eastAsia="zh-CN"/>
              </w:rPr>
            </w:pPr>
            <w:r>
              <w:rPr>
                <w:rFonts w:hint="eastAsia"/>
                <w:color w:val="auto"/>
                <w:lang w:val="en-US" w:eastAsia="zh-CN"/>
              </w:rPr>
              <w:t>15</w:t>
            </w:r>
          </w:p>
        </w:tc>
        <w:tc>
          <w:tcPr>
            <w:tcW w:w="3683" w:type="dxa"/>
            <w:tcBorders>
              <w:top w:val="single" w:color="000000" w:sz="4" w:space="0"/>
              <w:left w:val="single" w:color="000000" w:sz="4" w:space="0"/>
              <w:bottom w:val="single" w:color="000000" w:sz="4" w:space="0"/>
              <w:right w:val="single" w:color="000000" w:sz="4" w:space="0"/>
            </w:tcBorders>
            <w:noWrap w:val="0"/>
            <w:vAlign w:val="center"/>
          </w:tcPr>
          <w:p w14:paraId="7F93C1A2">
            <w:pPr>
              <w:pStyle w:val="50"/>
              <w:bidi w:val="0"/>
              <w:jc w:val="both"/>
              <w:rPr>
                <w:rFonts w:hint="eastAsia"/>
                <w:color w:val="auto"/>
              </w:rPr>
            </w:pPr>
            <w:r>
              <w:rPr>
                <w:rFonts w:hint="eastAsia"/>
                <w:color w:val="auto"/>
              </w:rPr>
              <w:t>与内罐连接的管道及其组成件，其设计压力不应小于内罐的设计压力。</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14:paraId="3329A54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橇装式汽车加油站技术标准</w:t>
            </w:r>
          </w:p>
          <w:p w14:paraId="7588E0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SH/T3134-2023</w:t>
            </w:r>
          </w:p>
          <w:p w14:paraId="659DCAE7">
            <w:pPr>
              <w:pStyle w:val="50"/>
              <w:keepNext w:val="0"/>
              <w:keepLines w:val="0"/>
              <w:pageBreakBefore w:val="0"/>
              <w:widowControl/>
              <w:kinsoku/>
              <w:wordWrap/>
              <w:overflowPunct/>
              <w:topLinePunct w:val="0"/>
              <w:autoSpaceDE/>
              <w:autoSpaceDN/>
              <w:bidi w:val="0"/>
              <w:adjustRightInd/>
              <w:snapToGrid/>
              <w:spacing w:line="280" w:lineRule="exact"/>
              <w:textAlignment w:val="auto"/>
              <w:rPr>
                <w:rFonts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第4.1.15条</w:t>
            </w:r>
          </w:p>
        </w:tc>
        <w:tc>
          <w:tcPr>
            <w:tcW w:w="2240" w:type="dxa"/>
            <w:tcBorders>
              <w:top w:val="single" w:color="000000" w:sz="4" w:space="0"/>
              <w:left w:val="single" w:color="000000" w:sz="4" w:space="0"/>
              <w:bottom w:val="single" w:color="000000" w:sz="4" w:space="0"/>
              <w:right w:val="single" w:color="000000" w:sz="4" w:space="0"/>
            </w:tcBorders>
            <w:noWrap w:val="0"/>
            <w:vAlign w:val="center"/>
          </w:tcPr>
          <w:p w14:paraId="531BAE04">
            <w:pPr>
              <w:pStyle w:val="50"/>
              <w:bidi w:val="0"/>
              <w:rPr>
                <w:color w:val="auto"/>
              </w:rPr>
            </w:pPr>
            <w:r>
              <w:rPr>
                <w:rFonts w:hint="eastAsia"/>
                <w:color w:val="auto"/>
              </w:rPr>
              <w:t>与内罐连接的管道及其组成件，其设计压力不小于内罐的设计压力</w:t>
            </w:r>
          </w:p>
        </w:tc>
        <w:tc>
          <w:tcPr>
            <w:tcW w:w="717" w:type="dxa"/>
            <w:tcBorders>
              <w:top w:val="single" w:color="000000" w:sz="4" w:space="0"/>
              <w:left w:val="single" w:color="000000" w:sz="4" w:space="0"/>
              <w:bottom w:val="single" w:color="000000" w:sz="4" w:space="0"/>
              <w:right w:val="single" w:color="000000" w:sz="4" w:space="0"/>
            </w:tcBorders>
            <w:noWrap w:val="0"/>
            <w:vAlign w:val="center"/>
          </w:tcPr>
          <w:p w14:paraId="701CB605">
            <w:pPr>
              <w:pStyle w:val="50"/>
              <w:bidi w:val="0"/>
              <w:rPr>
                <w:color w:val="auto"/>
              </w:rPr>
            </w:pPr>
            <w:r>
              <w:rPr>
                <w:color w:val="auto"/>
              </w:rPr>
              <w:t>符合</w:t>
            </w:r>
          </w:p>
        </w:tc>
      </w:tr>
      <w:tr w14:paraId="7B3BEE33">
        <w:tblPrEx>
          <w:tblCellMar>
            <w:top w:w="0" w:type="dxa"/>
            <w:left w:w="108" w:type="dxa"/>
            <w:bottom w:w="0" w:type="dxa"/>
            <w:right w:w="108" w:type="dxa"/>
          </w:tblCellMar>
        </w:tblPrEx>
        <w:trPr>
          <w:trHeight w:val="454" w:hRule="atLeast"/>
          <w:jc w:val="center"/>
        </w:trPr>
        <w:tc>
          <w:tcPr>
            <w:tcW w:w="612" w:type="dxa"/>
            <w:tcBorders>
              <w:top w:val="single" w:color="000000" w:sz="4" w:space="0"/>
              <w:left w:val="single" w:color="000000" w:sz="4" w:space="0"/>
              <w:bottom w:val="single" w:color="000000" w:sz="4" w:space="0"/>
              <w:right w:val="single" w:color="000000" w:sz="4" w:space="0"/>
            </w:tcBorders>
            <w:noWrap w:val="0"/>
            <w:vAlign w:val="center"/>
          </w:tcPr>
          <w:p w14:paraId="37EE17E3">
            <w:pPr>
              <w:pStyle w:val="50"/>
              <w:bidi w:val="0"/>
              <w:rPr>
                <w:rFonts w:hint="default" w:eastAsia="宋体"/>
                <w:color w:val="auto"/>
                <w:lang w:val="en-US" w:eastAsia="zh-CN"/>
              </w:rPr>
            </w:pPr>
            <w:r>
              <w:rPr>
                <w:rFonts w:hint="eastAsia"/>
                <w:color w:val="auto"/>
                <w:lang w:val="en-US" w:eastAsia="zh-CN"/>
              </w:rPr>
              <w:t>16</w:t>
            </w:r>
          </w:p>
        </w:tc>
        <w:tc>
          <w:tcPr>
            <w:tcW w:w="3683" w:type="dxa"/>
            <w:tcBorders>
              <w:top w:val="single" w:color="000000" w:sz="4" w:space="0"/>
              <w:left w:val="single" w:color="000000" w:sz="4" w:space="0"/>
              <w:bottom w:val="single" w:color="000000" w:sz="4" w:space="0"/>
              <w:right w:val="single" w:color="000000" w:sz="4" w:space="0"/>
            </w:tcBorders>
            <w:noWrap w:val="0"/>
            <w:vAlign w:val="center"/>
          </w:tcPr>
          <w:p w14:paraId="6EE83A8D">
            <w:pPr>
              <w:pStyle w:val="50"/>
              <w:bidi w:val="0"/>
              <w:jc w:val="both"/>
              <w:rPr>
                <w:rFonts w:hint="eastAsia"/>
                <w:color w:val="auto"/>
              </w:rPr>
            </w:pPr>
            <w:r>
              <w:rPr>
                <w:rFonts w:hint="eastAsia"/>
                <w:color w:val="auto"/>
              </w:rPr>
              <w:t>安装加油机、油泵的箱体应采取自然通风措施，不得有积聚油气的结构。</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14:paraId="2D1822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橇装式汽车加油站技术标准</w:t>
            </w:r>
          </w:p>
          <w:p w14:paraId="0080B2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SH/T3134-2023</w:t>
            </w:r>
          </w:p>
          <w:p w14:paraId="0A6A764F">
            <w:pPr>
              <w:pStyle w:val="50"/>
              <w:keepNext w:val="0"/>
              <w:keepLines w:val="0"/>
              <w:pageBreakBefore w:val="0"/>
              <w:widowControl/>
              <w:kinsoku/>
              <w:wordWrap/>
              <w:overflowPunct/>
              <w:topLinePunct w:val="0"/>
              <w:autoSpaceDE/>
              <w:autoSpaceDN/>
              <w:bidi w:val="0"/>
              <w:adjustRightInd/>
              <w:snapToGrid/>
              <w:spacing w:line="280" w:lineRule="exact"/>
              <w:textAlignment w:val="auto"/>
              <w:rPr>
                <w:rFonts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第4.2.1条</w:t>
            </w:r>
          </w:p>
        </w:tc>
        <w:tc>
          <w:tcPr>
            <w:tcW w:w="2240" w:type="dxa"/>
            <w:tcBorders>
              <w:top w:val="single" w:color="000000" w:sz="4" w:space="0"/>
              <w:left w:val="single" w:color="000000" w:sz="4" w:space="0"/>
              <w:bottom w:val="single" w:color="000000" w:sz="4" w:space="0"/>
              <w:right w:val="single" w:color="000000" w:sz="4" w:space="0"/>
            </w:tcBorders>
            <w:noWrap w:val="0"/>
            <w:vAlign w:val="center"/>
          </w:tcPr>
          <w:p w14:paraId="19343D0E">
            <w:pPr>
              <w:pStyle w:val="50"/>
              <w:bidi w:val="0"/>
              <w:rPr>
                <w:color w:val="auto"/>
              </w:rPr>
            </w:pPr>
            <w:r>
              <w:rPr>
                <w:rFonts w:hint="eastAsia"/>
                <w:color w:val="auto"/>
              </w:rPr>
              <w:t>安装加油机、油泵的箱体采取自然通风措施，</w:t>
            </w:r>
            <w:r>
              <w:rPr>
                <w:rFonts w:hint="eastAsia"/>
                <w:color w:val="auto"/>
                <w:lang w:val="en-US" w:eastAsia="zh-CN"/>
              </w:rPr>
              <w:t>未设置</w:t>
            </w:r>
            <w:r>
              <w:rPr>
                <w:rFonts w:hint="eastAsia"/>
                <w:color w:val="auto"/>
              </w:rPr>
              <w:t>积聚油气的结构。</w:t>
            </w:r>
          </w:p>
        </w:tc>
        <w:tc>
          <w:tcPr>
            <w:tcW w:w="717" w:type="dxa"/>
            <w:tcBorders>
              <w:top w:val="single" w:color="000000" w:sz="4" w:space="0"/>
              <w:left w:val="single" w:color="000000" w:sz="4" w:space="0"/>
              <w:bottom w:val="single" w:color="000000" w:sz="4" w:space="0"/>
              <w:right w:val="single" w:color="000000" w:sz="4" w:space="0"/>
            </w:tcBorders>
            <w:noWrap w:val="0"/>
            <w:vAlign w:val="center"/>
          </w:tcPr>
          <w:p w14:paraId="79E5F700">
            <w:pPr>
              <w:pStyle w:val="50"/>
              <w:bidi w:val="0"/>
              <w:rPr>
                <w:color w:val="auto"/>
              </w:rPr>
            </w:pPr>
            <w:r>
              <w:rPr>
                <w:rFonts w:hint="eastAsia"/>
                <w:color w:val="auto"/>
                <w:lang w:val="en-US" w:eastAsia="zh-CN"/>
              </w:rPr>
              <w:t>符合</w:t>
            </w:r>
          </w:p>
        </w:tc>
      </w:tr>
      <w:tr w14:paraId="3053CA3A">
        <w:tblPrEx>
          <w:tblCellMar>
            <w:top w:w="0" w:type="dxa"/>
            <w:left w:w="108" w:type="dxa"/>
            <w:bottom w:w="0" w:type="dxa"/>
            <w:right w:w="108" w:type="dxa"/>
          </w:tblCellMar>
        </w:tblPrEx>
        <w:trPr>
          <w:trHeight w:val="454" w:hRule="atLeast"/>
          <w:jc w:val="center"/>
        </w:trPr>
        <w:tc>
          <w:tcPr>
            <w:tcW w:w="612" w:type="dxa"/>
            <w:tcBorders>
              <w:top w:val="single" w:color="000000" w:sz="4" w:space="0"/>
              <w:left w:val="single" w:color="000000" w:sz="4" w:space="0"/>
              <w:bottom w:val="single" w:color="000000" w:sz="4" w:space="0"/>
              <w:right w:val="single" w:color="000000" w:sz="4" w:space="0"/>
            </w:tcBorders>
            <w:noWrap w:val="0"/>
            <w:vAlign w:val="center"/>
          </w:tcPr>
          <w:p w14:paraId="6B277542">
            <w:pPr>
              <w:pStyle w:val="50"/>
              <w:bidi w:val="0"/>
              <w:rPr>
                <w:rFonts w:hint="default" w:eastAsia="宋体"/>
                <w:color w:val="auto"/>
                <w:lang w:val="en-US" w:eastAsia="zh-CN"/>
              </w:rPr>
            </w:pPr>
            <w:r>
              <w:rPr>
                <w:rFonts w:hint="eastAsia"/>
                <w:color w:val="auto"/>
                <w:lang w:val="en-US" w:eastAsia="zh-CN"/>
              </w:rPr>
              <w:t>17</w:t>
            </w:r>
          </w:p>
        </w:tc>
        <w:tc>
          <w:tcPr>
            <w:tcW w:w="3683" w:type="dxa"/>
            <w:tcBorders>
              <w:top w:val="single" w:color="000000" w:sz="4" w:space="0"/>
              <w:left w:val="single" w:color="000000" w:sz="4" w:space="0"/>
              <w:bottom w:val="single" w:color="000000" w:sz="4" w:space="0"/>
              <w:right w:val="single" w:color="000000" w:sz="4" w:space="0"/>
            </w:tcBorders>
            <w:noWrap w:val="0"/>
            <w:vAlign w:val="center"/>
          </w:tcPr>
          <w:p w14:paraId="61A6CD63">
            <w:pPr>
              <w:pStyle w:val="50"/>
              <w:bidi w:val="0"/>
              <w:jc w:val="both"/>
              <w:rPr>
                <w:rFonts w:hint="eastAsia"/>
                <w:color w:val="auto"/>
              </w:rPr>
            </w:pPr>
            <w:r>
              <w:rPr>
                <w:rFonts w:hint="eastAsia"/>
                <w:color w:val="auto"/>
              </w:rPr>
              <w:t>加油机上方应设自动灭火器，自动灭火器的启动温度不应高于95℃。</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14:paraId="25F24F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橇装式汽车加油站技术标准</w:t>
            </w:r>
          </w:p>
          <w:p w14:paraId="3519CDB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SH/T3134-2023</w:t>
            </w:r>
          </w:p>
          <w:p w14:paraId="68C1C2A8">
            <w:pPr>
              <w:pStyle w:val="50"/>
              <w:keepNext w:val="0"/>
              <w:keepLines w:val="0"/>
              <w:pageBreakBefore w:val="0"/>
              <w:widowControl/>
              <w:kinsoku/>
              <w:wordWrap/>
              <w:overflowPunct/>
              <w:topLinePunct w:val="0"/>
              <w:autoSpaceDE/>
              <w:autoSpaceDN/>
              <w:bidi w:val="0"/>
              <w:adjustRightInd/>
              <w:snapToGrid/>
              <w:spacing w:line="280" w:lineRule="exact"/>
              <w:textAlignment w:val="auto"/>
              <w:rPr>
                <w:rFonts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第4.2.2条</w:t>
            </w:r>
          </w:p>
        </w:tc>
        <w:tc>
          <w:tcPr>
            <w:tcW w:w="2240" w:type="dxa"/>
            <w:tcBorders>
              <w:top w:val="single" w:color="000000" w:sz="4" w:space="0"/>
              <w:left w:val="single" w:color="000000" w:sz="4" w:space="0"/>
              <w:bottom w:val="single" w:color="000000" w:sz="4" w:space="0"/>
              <w:right w:val="single" w:color="000000" w:sz="4" w:space="0"/>
            </w:tcBorders>
            <w:noWrap w:val="0"/>
            <w:vAlign w:val="center"/>
          </w:tcPr>
          <w:p w14:paraId="4AD064EE">
            <w:pPr>
              <w:pStyle w:val="50"/>
              <w:bidi w:val="0"/>
              <w:rPr>
                <w:rFonts w:hint="default" w:eastAsia="宋体"/>
                <w:color w:val="auto"/>
                <w:lang w:val="en-US" w:eastAsia="zh-CN"/>
              </w:rPr>
            </w:pPr>
            <w:r>
              <w:rPr>
                <w:rFonts w:hint="eastAsia"/>
                <w:color w:val="auto"/>
              </w:rPr>
              <w:t>加油机上方</w:t>
            </w:r>
            <w:r>
              <w:rPr>
                <w:rFonts w:hint="eastAsia"/>
                <w:color w:val="auto"/>
                <w:lang w:val="en-US" w:eastAsia="zh-CN"/>
              </w:rPr>
              <w:t>设置悬挂式干粉自动灭火器，启动温度不高于95℃</w:t>
            </w:r>
          </w:p>
        </w:tc>
        <w:tc>
          <w:tcPr>
            <w:tcW w:w="717" w:type="dxa"/>
            <w:tcBorders>
              <w:top w:val="single" w:color="000000" w:sz="4" w:space="0"/>
              <w:left w:val="single" w:color="000000" w:sz="4" w:space="0"/>
              <w:bottom w:val="single" w:color="000000" w:sz="4" w:space="0"/>
              <w:right w:val="single" w:color="000000" w:sz="4" w:space="0"/>
            </w:tcBorders>
            <w:noWrap w:val="0"/>
            <w:vAlign w:val="center"/>
          </w:tcPr>
          <w:p w14:paraId="19B97C7A">
            <w:pPr>
              <w:pStyle w:val="50"/>
              <w:bidi w:val="0"/>
              <w:rPr>
                <w:color w:val="auto"/>
              </w:rPr>
            </w:pPr>
            <w:r>
              <w:rPr>
                <w:color w:val="auto"/>
              </w:rPr>
              <w:t>符合</w:t>
            </w:r>
          </w:p>
        </w:tc>
      </w:tr>
      <w:tr w14:paraId="42357E76">
        <w:tblPrEx>
          <w:tblCellMar>
            <w:top w:w="0" w:type="dxa"/>
            <w:left w:w="108" w:type="dxa"/>
            <w:bottom w:w="0" w:type="dxa"/>
            <w:right w:w="108" w:type="dxa"/>
          </w:tblCellMar>
        </w:tblPrEx>
        <w:trPr>
          <w:trHeight w:val="454" w:hRule="atLeast"/>
          <w:jc w:val="center"/>
        </w:trPr>
        <w:tc>
          <w:tcPr>
            <w:tcW w:w="612" w:type="dxa"/>
            <w:tcBorders>
              <w:top w:val="single" w:color="000000" w:sz="4" w:space="0"/>
              <w:left w:val="single" w:color="000000" w:sz="4" w:space="0"/>
              <w:bottom w:val="single" w:color="000000" w:sz="4" w:space="0"/>
              <w:right w:val="single" w:color="000000" w:sz="4" w:space="0"/>
            </w:tcBorders>
            <w:noWrap w:val="0"/>
            <w:vAlign w:val="center"/>
          </w:tcPr>
          <w:p w14:paraId="4857F5AD">
            <w:pPr>
              <w:pStyle w:val="50"/>
              <w:bidi w:val="0"/>
              <w:rPr>
                <w:rFonts w:hint="default" w:eastAsia="宋体"/>
                <w:color w:val="auto"/>
                <w:lang w:val="en-US" w:eastAsia="zh-CN"/>
              </w:rPr>
            </w:pPr>
            <w:r>
              <w:rPr>
                <w:rFonts w:hint="eastAsia"/>
                <w:color w:val="auto"/>
                <w:lang w:val="en-US" w:eastAsia="zh-CN"/>
              </w:rPr>
              <w:t>18</w:t>
            </w:r>
          </w:p>
        </w:tc>
        <w:tc>
          <w:tcPr>
            <w:tcW w:w="3683" w:type="dxa"/>
            <w:tcBorders>
              <w:top w:val="single" w:color="000000" w:sz="4" w:space="0"/>
              <w:left w:val="single" w:color="000000" w:sz="4" w:space="0"/>
              <w:bottom w:val="single" w:color="000000" w:sz="4" w:space="0"/>
              <w:right w:val="single" w:color="000000" w:sz="4" w:space="0"/>
            </w:tcBorders>
            <w:noWrap w:val="0"/>
            <w:vAlign w:val="center"/>
          </w:tcPr>
          <w:p w14:paraId="4C9F9FA8">
            <w:pPr>
              <w:pStyle w:val="50"/>
              <w:bidi w:val="0"/>
              <w:jc w:val="both"/>
              <w:rPr>
                <w:rFonts w:hint="eastAsia"/>
                <w:color w:val="auto"/>
              </w:rPr>
            </w:pPr>
            <w:r>
              <w:rPr>
                <w:rFonts w:hint="eastAsia"/>
                <w:color w:val="auto"/>
              </w:rPr>
              <w:t>加油枪应采用自封式加油枪，汽油加油枪的流量不应大于50L/min。</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14:paraId="555F0F3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橇装式汽车加油站技术标准</w:t>
            </w:r>
          </w:p>
          <w:p w14:paraId="101700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SH/T3134-2023</w:t>
            </w:r>
          </w:p>
          <w:p w14:paraId="7C135852">
            <w:pPr>
              <w:pStyle w:val="50"/>
              <w:keepNext w:val="0"/>
              <w:keepLines w:val="0"/>
              <w:pageBreakBefore w:val="0"/>
              <w:widowControl/>
              <w:kinsoku/>
              <w:wordWrap/>
              <w:overflowPunct/>
              <w:topLinePunct w:val="0"/>
              <w:autoSpaceDE/>
              <w:autoSpaceDN/>
              <w:bidi w:val="0"/>
              <w:adjustRightInd/>
              <w:snapToGrid/>
              <w:spacing w:line="280" w:lineRule="exact"/>
              <w:textAlignment w:val="auto"/>
              <w:rPr>
                <w:rFonts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第4.2.2条</w:t>
            </w:r>
          </w:p>
        </w:tc>
        <w:tc>
          <w:tcPr>
            <w:tcW w:w="2240" w:type="dxa"/>
            <w:tcBorders>
              <w:top w:val="single" w:color="000000" w:sz="4" w:space="0"/>
              <w:left w:val="single" w:color="000000" w:sz="4" w:space="0"/>
              <w:bottom w:val="single" w:color="000000" w:sz="4" w:space="0"/>
              <w:right w:val="single" w:color="000000" w:sz="4" w:space="0"/>
            </w:tcBorders>
            <w:noWrap w:val="0"/>
            <w:vAlign w:val="center"/>
          </w:tcPr>
          <w:p w14:paraId="3A448B29">
            <w:pPr>
              <w:pStyle w:val="50"/>
              <w:bidi w:val="0"/>
              <w:rPr>
                <w:color w:val="auto"/>
              </w:rPr>
            </w:pPr>
            <w:r>
              <w:rPr>
                <w:rFonts w:hint="eastAsia"/>
                <w:color w:val="auto"/>
              </w:rPr>
              <w:t>加油枪采用自封式加油枪</w:t>
            </w:r>
          </w:p>
        </w:tc>
        <w:tc>
          <w:tcPr>
            <w:tcW w:w="717" w:type="dxa"/>
            <w:tcBorders>
              <w:top w:val="single" w:color="000000" w:sz="4" w:space="0"/>
              <w:left w:val="single" w:color="000000" w:sz="4" w:space="0"/>
              <w:bottom w:val="single" w:color="000000" w:sz="4" w:space="0"/>
              <w:right w:val="single" w:color="000000" w:sz="4" w:space="0"/>
            </w:tcBorders>
            <w:noWrap w:val="0"/>
            <w:vAlign w:val="center"/>
          </w:tcPr>
          <w:p w14:paraId="1F14BA15">
            <w:pPr>
              <w:pStyle w:val="50"/>
              <w:bidi w:val="0"/>
              <w:rPr>
                <w:color w:val="auto"/>
              </w:rPr>
            </w:pPr>
            <w:r>
              <w:rPr>
                <w:rFonts w:hint="eastAsia"/>
                <w:color w:val="auto"/>
                <w:lang w:val="en-US" w:eastAsia="zh-CN"/>
              </w:rPr>
              <w:t>符合</w:t>
            </w:r>
          </w:p>
        </w:tc>
      </w:tr>
      <w:tr w14:paraId="3C2141EC">
        <w:tblPrEx>
          <w:tblCellMar>
            <w:top w:w="0" w:type="dxa"/>
            <w:left w:w="108" w:type="dxa"/>
            <w:bottom w:w="0" w:type="dxa"/>
            <w:right w:w="108" w:type="dxa"/>
          </w:tblCellMar>
        </w:tblPrEx>
        <w:trPr>
          <w:trHeight w:val="454" w:hRule="atLeast"/>
          <w:jc w:val="center"/>
        </w:trPr>
        <w:tc>
          <w:tcPr>
            <w:tcW w:w="612" w:type="dxa"/>
            <w:tcBorders>
              <w:top w:val="single" w:color="000000" w:sz="4" w:space="0"/>
              <w:left w:val="single" w:color="000000" w:sz="4" w:space="0"/>
              <w:bottom w:val="single" w:color="000000" w:sz="4" w:space="0"/>
              <w:right w:val="single" w:color="000000" w:sz="4" w:space="0"/>
            </w:tcBorders>
            <w:noWrap w:val="0"/>
            <w:vAlign w:val="center"/>
          </w:tcPr>
          <w:p w14:paraId="1FCDF691">
            <w:pPr>
              <w:pStyle w:val="50"/>
              <w:bidi w:val="0"/>
              <w:rPr>
                <w:rFonts w:hint="default" w:eastAsia="宋体"/>
                <w:color w:val="auto"/>
                <w:lang w:val="en-US" w:eastAsia="zh-CN"/>
              </w:rPr>
            </w:pPr>
            <w:r>
              <w:rPr>
                <w:rFonts w:hint="eastAsia"/>
                <w:color w:val="auto"/>
                <w:lang w:val="en-US" w:eastAsia="zh-CN"/>
              </w:rPr>
              <w:t>19</w:t>
            </w:r>
          </w:p>
        </w:tc>
        <w:tc>
          <w:tcPr>
            <w:tcW w:w="3683" w:type="dxa"/>
            <w:tcBorders>
              <w:top w:val="single" w:color="000000" w:sz="4" w:space="0"/>
              <w:left w:val="single" w:color="000000" w:sz="4" w:space="0"/>
              <w:bottom w:val="single" w:color="000000" w:sz="4" w:space="0"/>
              <w:right w:val="single" w:color="000000" w:sz="4" w:space="0"/>
            </w:tcBorders>
            <w:noWrap w:val="0"/>
            <w:vAlign w:val="center"/>
          </w:tcPr>
          <w:p w14:paraId="011A9817">
            <w:pPr>
              <w:pStyle w:val="50"/>
              <w:bidi w:val="0"/>
              <w:jc w:val="both"/>
              <w:rPr>
                <w:rFonts w:hint="eastAsia"/>
                <w:color w:val="auto"/>
              </w:rPr>
            </w:pPr>
            <w:r>
              <w:rPr>
                <w:rFonts w:hint="eastAsia"/>
                <w:color w:val="auto"/>
              </w:rPr>
              <w:t>加油软管上应设安全拉断阀。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14:paraId="5E8762B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橇装式汽车加油站技术标准</w:t>
            </w:r>
          </w:p>
          <w:p w14:paraId="26A80AD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SH/T3134-2023</w:t>
            </w:r>
          </w:p>
          <w:p w14:paraId="209EF758">
            <w:pPr>
              <w:pStyle w:val="50"/>
              <w:keepNext w:val="0"/>
              <w:keepLines w:val="0"/>
              <w:pageBreakBefore w:val="0"/>
              <w:widowControl/>
              <w:kinsoku/>
              <w:wordWrap/>
              <w:overflowPunct/>
              <w:topLinePunct w:val="0"/>
              <w:autoSpaceDE/>
              <w:autoSpaceDN/>
              <w:bidi w:val="0"/>
              <w:adjustRightInd/>
              <w:snapToGrid/>
              <w:spacing w:line="280" w:lineRule="exact"/>
              <w:textAlignment w:val="auto"/>
              <w:rPr>
                <w:rFonts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第4.2.4条</w:t>
            </w:r>
          </w:p>
        </w:tc>
        <w:tc>
          <w:tcPr>
            <w:tcW w:w="2240" w:type="dxa"/>
            <w:tcBorders>
              <w:top w:val="single" w:color="000000" w:sz="4" w:space="0"/>
              <w:left w:val="single" w:color="000000" w:sz="4" w:space="0"/>
              <w:bottom w:val="single" w:color="000000" w:sz="4" w:space="0"/>
              <w:right w:val="single" w:color="000000" w:sz="4" w:space="0"/>
            </w:tcBorders>
            <w:noWrap w:val="0"/>
            <w:vAlign w:val="center"/>
          </w:tcPr>
          <w:p w14:paraId="33C35CC7">
            <w:pPr>
              <w:pStyle w:val="50"/>
              <w:bidi w:val="0"/>
              <w:rPr>
                <w:color w:val="auto"/>
              </w:rPr>
            </w:pPr>
            <w:r>
              <w:rPr>
                <w:rFonts w:hint="eastAsia"/>
                <w:color w:val="auto"/>
              </w:rPr>
              <w:t>加油软管上设安全拉断阀</w:t>
            </w:r>
          </w:p>
        </w:tc>
        <w:tc>
          <w:tcPr>
            <w:tcW w:w="717" w:type="dxa"/>
            <w:tcBorders>
              <w:top w:val="single" w:color="000000" w:sz="4" w:space="0"/>
              <w:left w:val="single" w:color="000000" w:sz="4" w:space="0"/>
              <w:bottom w:val="single" w:color="000000" w:sz="4" w:space="0"/>
              <w:right w:val="single" w:color="000000" w:sz="4" w:space="0"/>
            </w:tcBorders>
            <w:noWrap w:val="0"/>
            <w:vAlign w:val="center"/>
          </w:tcPr>
          <w:p w14:paraId="193E6C57">
            <w:pPr>
              <w:pStyle w:val="50"/>
              <w:bidi w:val="0"/>
              <w:rPr>
                <w:color w:val="auto"/>
              </w:rPr>
            </w:pPr>
            <w:r>
              <w:rPr>
                <w:color w:val="auto"/>
              </w:rPr>
              <w:t>符合</w:t>
            </w:r>
          </w:p>
        </w:tc>
      </w:tr>
      <w:tr w14:paraId="4B9FE3E1">
        <w:tblPrEx>
          <w:tblCellMar>
            <w:top w:w="0" w:type="dxa"/>
            <w:left w:w="108" w:type="dxa"/>
            <w:bottom w:w="0" w:type="dxa"/>
            <w:right w:w="108" w:type="dxa"/>
          </w:tblCellMar>
        </w:tblPrEx>
        <w:trPr>
          <w:trHeight w:val="454" w:hRule="atLeast"/>
          <w:jc w:val="center"/>
        </w:trPr>
        <w:tc>
          <w:tcPr>
            <w:tcW w:w="612" w:type="dxa"/>
            <w:tcBorders>
              <w:top w:val="single" w:color="000000" w:sz="4" w:space="0"/>
              <w:left w:val="single" w:color="000000" w:sz="4" w:space="0"/>
              <w:bottom w:val="single" w:color="000000" w:sz="4" w:space="0"/>
              <w:right w:val="single" w:color="000000" w:sz="4" w:space="0"/>
            </w:tcBorders>
            <w:noWrap w:val="0"/>
            <w:vAlign w:val="center"/>
          </w:tcPr>
          <w:p w14:paraId="40FAB34F">
            <w:pPr>
              <w:pStyle w:val="50"/>
              <w:bidi w:val="0"/>
              <w:rPr>
                <w:rFonts w:hint="default" w:eastAsia="宋体"/>
                <w:color w:val="auto"/>
                <w:lang w:val="en-US" w:eastAsia="zh-CN"/>
              </w:rPr>
            </w:pPr>
            <w:r>
              <w:rPr>
                <w:rFonts w:hint="eastAsia"/>
                <w:color w:val="auto"/>
                <w:lang w:val="en-US" w:eastAsia="zh-CN"/>
              </w:rPr>
              <w:t>20</w:t>
            </w:r>
          </w:p>
        </w:tc>
        <w:tc>
          <w:tcPr>
            <w:tcW w:w="3683" w:type="dxa"/>
            <w:tcBorders>
              <w:top w:val="single" w:color="000000" w:sz="4" w:space="0"/>
              <w:left w:val="single" w:color="000000" w:sz="4" w:space="0"/>
              <w:bottom w:val="single" w:color="000000" w:sz="4" w:space="0"/>
              <w:right w:val="single" w:color="000000" w:sz="4" w:space="0"/>
            </w:tcBorders>
            <w:noWrap w:val="0"/>
            <w:vAlign w:val="center"/>
          </w:tcPr>
          <w:p w14:paraId="2E45DFD3">
            <w:pPr>
              <w:pStyle w:val="50"/>
              <w:bidi w:val="0"/>
              <w:jc w:val="both"/>
              <w:rPr>
                <w:rFonts w:hint="eastAsia"/>
                <w:color w:val="auto"/>
              </w:rPr>
            </w:pPr>
            <w:r>
              <w:rPr>
                <w:rFonts w:hint="eastAsia"/>
                <w:color w:val="auto"/>
              </w:rPr>
              <w:t>加油机应符合GB/9081的有关规定，位于爆炸危险区的加油机应采取相应的防爆措施。</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14:paraId="4826CB5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橇装式汽车加油站技术标准</w:t>
            </w:r>
          </w:p>
          <w:p w14:paraId="3A78709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SH/T3134-2023</w:t>
            </w:r>
          </w:p>
          <w:p w14:paraId="39EDB270">
            <w:pPr>
              <w:pStyle w:val="50"/>
              <w:keepNext w:val="0"/>
              <w:keepLines w:val="0"/>
              <w:pageBreakBefore w:val="0"/>
              <w:widowControl/>
              <w:kinsoku/>
              <w:wordWrap/>
              <w:overflowPunct/>
              <w:topLinePunct w:val="0"/>
              <w:autoSpaceDE/>
              <w:autoSpaceDN/>
              <w:bidi w:val="0"/>
              <w:adjustRightInd/>
              <w:snapToGrid/>
              <w:spacing w:line="280" w:lineRule="exact"/>
              <w:textAlignment w:val="auto"/>
              <w:rPr>
                <w:rFonts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第4.2.5条</w:t>
            </w:r>
          </w:p>
        </w:tc>
        <w:tc>
          <w:tcPr>
            <w:tcW w:w="2240" w:type="dxa"/>
            <w:tcBorders>
              <w:top w:val="single" w:color="000000" w:sz="4" w:space="0"/>
              <w:left w:val="single" w:color="000000" w:sz="4" w:space="0"/>
              <w:bottom w:val="single" w:color="000000" w:sz="4" w:space="0"/>
              <w:right w:val="single" w:color="000000" w:sz="4" w:space="0"/>
            </w:tcBorders>
            <w:noWrap w:val="0"/>
            <w:vAlign w:val="center"/>
          </w:tcPr>
          <w:p w14:paraId="2BC8C871">
            <w:pPr>
              <w:pStyle w:val="50"/>
              <w:bidi w:val="0"/>
              <w:rPr>
                <w:color w:val="auto"/>
              </w:rPr>
            </w:pPr>
            <w:r>
              <w:rPr>
                <w:rFonts w:hint="eastAsia"/>
                <w:color w:val="auto"/>
              </w:rPr>
              <w:t>加油机符合GB/9081的有关规定</w:t>
            </w:r>
          </w:p>
        </w:tc>
        <w:tc>
          <w:tcPr>
            <w:tcW w:w="717" w:type="dxa"/>
            <w:tcBorders>
              <w:top w:val="single" w:color="000000" w:sz="4" w:space="0"/>
              <w:left w:val="single" w:color="000000" w:sz="4" w:space="0"/>
              <w:bottom w:val="single" w:color="000000" w:sz="4" w:space="0"/>
              <w:right w:val="single" w:color="000000" w:sz="4" w:space="0"/>
            </w:tcBorders>
            <w:noWrap w:val="0"/>
            <w:vAlign w:val="center"/>
          </w:tcPr>
          <w:p w14:paraId="63BF1D29">
            <w:pPr>
              <w:pStyle w:val="50"/>
              <w:bidi w:val="0"/>
              <w:rPr>
                <w:color w:val="auto"/>
              </w:rPr>
            </w:pPr>
            <w:r>
              <w:rPr>
                <w:rFonts w:hint="eastAsia"/>
                <w:color w:val="auto"/>
                <w:lang w:val="en-US" w:eastAsia="zh-CN"/>
              </w:rPr>
              <w:t>符合</w:t>
            </w:r>
          </w:p>
        </w:tc>
      </w:tr>
      <w:tr w14:paraId="469E4F29">
        <w:tblPrEx>
          <w:tblCellMar>
            <w:top w:w="0" w:type="dxa"/>
            <w:left w:w="108" w:type="dxa"/>
            <w:bottom w:w="0" w:type="dxa"/>
            <w:right w:w="108" w:type="dxa"/>
          </w:tblCellMar>
        </w:tblPrEx>
        <w:trPr>
          <w:trHeight w:val="454" w:hRule="atLeast"/>
          <w:jc w:val="center"/>
        </w:trPr>
        <w:tc>
          <w:tcPr>
            <w:tcW w:w="612" w:type="dxa"/>
            <w:tcBorders>
              <w:top w:val="single" w:color="000000" w:sz="4" w:space="0"/>
              <w:left w:val="single" w:color="000000" w:sz="4" w:space="0"/>
              <w:bottom w:val="single" w:color="000000" w:sz="4" w:space="0"/>
              <w:right w:val="single" w:color="000000" w:sz="4" w:space="0"/>
            </w:tcBorders>
            <w:noWrap w:val="0"/>
            <w:vAlign w:val="center"/>
          </w:tcPr>
          <w:p w14:paraId="09E45CD1">
            <w:pPr>
              <w:pStyle w:val="50"/>
              <w:bidi w:val="0"/>
              <w:rPr>
                <w:rFonts w:hint="default" w:eastAsia="宋体"/>
                <w:color w:val="auto"/>
                <w:lang w:val="en-US" w:eastAsia="zh-CN"/>
              </w:rPr>
            </w:pPr>
            <w:r>
              <w:rPr>
                <w:rFonts w:hint="eastAsia"/>
                <w:color w:val="auto"/>
                <w:lang w:val="en-US" w:eastAsia="zh-CN"/>
              </w:rPr>
              <w:t>21</w:t>
            </w:r>
          </w:p>
        </w:tc>
        <w:tc>
          <w:tcPr>
            <w:tcW w:w="3683" w:type="dxa"/>
            <w:tcBorders>
              <w:top w:val="single" w:color="000000" w:sz="4" w:space="0"/>
              <w:left w:val="single" w:color="000000" w:sz="4" w:space="0"/>
              <w:bottom w:val="single" w:color="000000" w:sz="4" w:space="0"/>
              <w:right w:val="single" w:color="000000" w:sz="4" w:space="0"/>
            </w:tcBorders>
            <w:noWrap w:val="0"/>
            <w:vAlign w:val="center"/>
          </w:tcPr>
          <w:p w14:paraId="0B272B1B">
            <w:pPr>
              <w:pStyle w:val="50"/>
              <w:bidi w:val="0"/>
              <w:jc w:val="both"/>
              <w:rPr>
                <w:rFonts w:hint="eastAsia"/>
                <w:color w:val="auto"/>
              </w:rPr>
            </w:pPr>
            <w:r>
              <w:rPr>
                <w:rFonts w:hint="eastAsia"/>
                <w:color w:val="auto"/>
              </w:rPr>
              <w:t>加油机进油管道上应设置自动断油保护阀。</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14:paraId="0128DB3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橇装式汽车加油站技术标准</w:t>
            </w:r>
          </w:p>
          <w:p w14:paraId="4934BA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SH/T3134-2023</w:t>
            </w:r>
          </w:p>
          <w:p w14:paraId="5D04A0DB">
            <w:pPr>
              <w:pStyle w:val="50"/>
              <w:keepNext w:val="0"/>
              <w:keepLines w:val="0"/>
              <w:pageBreakBefore w:val="0"/>
              <w:widowControl/>
              <w:kinsoku/>
              <w:wordWrap/>
              <w:overflowPunct/>
              <w:topLinePunct w:val="0"/>
              <w:autoSpaceDE/>
              <w:autoSpaceDN/>
              <w:bidi w:val="0"/>
              <w:adjustRightInd/>
              <w:snapToGrid/>
              <w:spacing w:line="280" w:lineRule="exact"/>
              <w:textAlignment w:val="auto"/>
              <w:rPr>
                <w:rFonts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第4.2.6条</w:t>
            </w:r>
          </w:p>
        </w:tc>
        <w:tc>
          <w:tcPr>
            <w:tcW w:w="2240" w:type="dxa"/>
            <w:tcBorders>
              <w:top w:val="single" w:color="000000" w:sz="4" w:space="0"/>
              <w:left w:val="single" w:color="000000" w:sz="4" w:space="0"/>
              <w:bottom w:val="single" w:color="000000" w:sz="4" w:space="0"/>
              <w:right w:val="single" w:color="000000" w:sz="4" w:space="0"/>
            </w:tcBorders>
            <w:noWrap w:val="0"/>
            <w:vAlign w:val="center"/>
          </w:tcPr>
          <w:p w14:paraId="1321B0FF">
            <w:pPr>
              <w:pStyle w:val="50"/>
              <w:bidi w:val="0"/>
              <w:rPr>
                <w:color w:val="auto"/>
              </w:rPr>
            </w:pPr>
            <w:r>
              <w:rPr>
                <w:rFonts w:hint="eastAsia"/>
                <w:color w:val="auto"/>
              </w:rPr>
              <w:t>加油机进油管道上设置自动断油保护阀</w:t>
            </w:r>
          </w:p>
        </w:tc>
        <w:tc>
          <w:tcPr>
            <w:tcW w:w="717" w:type="dxa"/>
            <w:tcBorders>
              <w:top w:val="single" w:color="000000" w:sz="4" w:space="0"/>
              <w:left w:val="single" w:color="000000" w:sz="4" w:space="0"/>
              <w:bottom w:val="single" w:color="000000" w:sz="4" w:space="0"/>
              <w:right w:val="single" w:color="000000" w:sz="4" w:space="0"/>
            </w:tcBorders>
            <w:noWrap w:val="0"/>
            <w:vAlign w:val="center"/>
          </w:tcPr>
          <w:p w14:paraId="51CE67A1">
            <w:pPr>
              <w:pStyle w:val="50"/>
              <w:bidi w:val="0"/>
              <w:rPr>
                <w:color w:val="auto"/>
              </w:rPr>
            </w:pPr>
            <w:r>
              <w:rPr>
                <w:color w:val="auto"/>
              </w:rPr>
              <w:t>符合</w:t>
            </w:r>
          </w:p>
        </w:tc>
      </w:tr>
      <w:tr w14:paraId="4066D326">
        <w:tblPrEx>
          <w:tblCellMar>
            <w:top w:w="0" w:type="dxa"/>
            <w:left w:w="108" w:type="dxa"/>
            <w:bottom w:w="0" w:type="dxa"/>
            <w:right w:w="108" w:type="dxa"/>
          </w:tblCellMar>
        </w:tblPrEx>
        <w:trPr>
          <w:trHeight w:val="454" w:hRule="atLeast"/>
          <w:jc w:val="center"/>
        </w:trPr>
        <w:tc>
          <w:tcPr>
            <w:tcW w:w="612" w:type="dxa"/>
            <w:tcBorders>
              <w:top w:val="single" w:color="000000" w:sz="4" w:space="0"/>
              <w:left w:val="single" w:color="000000" w:sz="4" w:space="0"/>
              <w:bottom w:val="single" w:color="000000" w:sz="4" w:space="0"/>
              <w:right w:val="single" w:color="000000" w:sz="4" w:space="0"/>
            </w:tcBorders>
            <w:noWrap w:val="0"/>
            <w:vAlign w:val="center"/>
          </w:tcPr>
          <w:p w14:paraId="0EF32040">
            <w:pPr>
              <w:pStyle w:val="50"/>
              <w:bidi w:val="0"/>
              <w:rPr>
                <w:rFonts w:hint="default"/>
                <w:color w:val="auto"/>
                <w:lang w:val="en-US" w:eastAsia="zh-CN"/>
              </w:rPr>
            </w:pPr>
            <w:r>
              <w:rPr>
                <w:rFonts w:hint="eastAsia"/>
                <w:color w:val="auto"/>
                <w:lang w:val="en-US" w:eastAsia="zh-CN"/>
              </w:rPr>
              <w:t>22</w:t>
            </w:r>
          </w:p>
        </w:tc>
        <w:tc>
          <w:tcPr>
            <w:tcW w:w="3683" w:type="dxa"/>
            <w:tcBorders>
              <w:top w:val="single" w:color="000000" w:sz="4" w:space="0"/>
              <w:left w:val="single" w:color="000000" w:sz="4" w:space="0"/>
              <w:bottom w:val="single" w:color="000000" w:sz="4" w:space="0"/>
              <w:right w:val="single" w:color="000000" w:sz="4" w:space="0"/>
            </w:tcBorders>
            <w:noWrap w:val="0"/>
            <w:vAlign w:val="center"/>
          </w:tcPr>
          <w:p w14:paraId="6C344E46">
            <w:pPr>
              <w:pStyle w:val="50"/>
              <w:bidi w:val="0"/>
              <w:jc w:val="both"/>
              <w:rPr>
                <w:rFonts w:hint="eastAsia"/>
                <w:color w:val="auto"/>
              </w:rPr>
            </w:pPr>
            <w:r>
              <w:rPr>
                <w:rFonts w:hint="eastAsia"/>
                <w:color w:val="auto"/>
                <w:lang w:eastAsia="zh-CN"/>
              </w:rPr>
              <w:t>撬</w:t>
            </w:r>
            <w:r>
              <w:rPr>
                <w:rFonts w:hint="eastAsia"/>
                <w:color w:val="auto"/>
              </w:rPr>
              <w:t>装式加油装置不得设在室内或其他有气相空间的箱体内。</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14:paraId="2D20E4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橇装式汽车加油站技术标准</w:t>
            </w:r>
          </w:p>
          <w:p w14:paraId="6472F72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SH/T3134-2023</w:t>
            </w:r>
          </w:p>
          <w:p w14:paraId="76FE05A7">
            <w:pPr>
              <w:pStyle w:val="50"/>
              <w:keepNext w:val="0"/>
              <w:keepLines w:val="0"/>
              <w:pageBreakBefore w:val="0"/>
              <w:widowControl/>
              <w:kinsoku/>
              <w:wordWrap/>
              <w:overflowPunct/>
              <w:topLinePunct w:val="0"/>
              <w:autoSpaceDE/>
              <w:autoSpaceDN/>
              <w:bidi w:val="0"/>
              <w:adjustRightInd/>
              <w:snapToGrid/>
              <w:spacing w:line="280" w:lineRule="exact"/>
              <w:textAlignment w:val="auto"/>
              <w:rPr>
                <w:rFonts w:hint="default"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第5.2.1条</w:t>
            </w:r>
          </w:p>
        </w:tc>
        <w:tc>
          <w:tcPr>
            <w:tcW w:w="2240" w:type="dxa"/>
            <w:tcBorders>
              <w:top w:val="single" w:color="000000" w:sz="4" w:space="0"/>
              <w:left w:val="single" w:color="000000" w:sz="4" w:space="0"/>
              <w:bottom w:val="single" w:color="000000" w:sz="4" w:space="0"/>
              <w:right w:val="single" w:color="000000" w:sz="4" w:space="0"/>
            </w:tcBorders>
            <w:noWrap w:val="0"/>
            <w:vAlign w:val="center"/>
          </w:tcPr>
          <w:p w14:paraId="70F738CF">
            <w:pPr>
              <w:pStyle w:val="50"/>
              <w:bidi w:val="0"/>
              <w:rPr>
                <w:rFonts w:hint="default" w:eastAsia="宋体"/>
                <w:color w:val="auto"/>
                <w:lang w:val="en-US" w:eastAsia="zh-CN"/>
              </w:rPr>
            </w:pPr>
            <w:r>
              <w:rPr>
                <w:rFonts w:hint="eastAsia"/>
                <w:color w:val="auto"/>
                <w:lang w:val="en-US" w:eastAsia="zh-CN"/>
              </w:rPr>
              <w:t>未设在室内</w:t>
            </w:r>
          </w:p>
        </w:tc>
        <w:tc>
          <w:tcPr>
            <w:tcW w:w="717" w:type="dxa"/>
            <w:tcBorders>
              <w:top w:val="single" w:color="000000" w:sz="4" w:space="0"/>
              <w:left w:val="single" w:color="000000" w:sz="4" w:space="0"/>
              <w:bottom w:val="single" w:color="000000" w:sz="4" w:space="0"/>
              <w:right w:val="single" w:color="000000" w:sz="4" w:space="0"/>
            </w:tcBorders>
            <w:noWrap w:val="0"/>
            <w:vAlign w:val="center"/>
          </w:tcPr>
          <w:p w14:paraId="32ECB592">
            <w:pPr>
              <w:pStyle w:val="50"/>
              <w:bidi w:val="0"/>
              <w:rPr>
                <w:color w:val="auto"/>
              </w:rPr>
            </w:pPr>
            <w:r>
              <w:rPr>
                <w:rFonts w:hint="eastAsia"/>
                <w:color w:val="auto"/>
                <w:lang w:val="en-US" w:eastAsia="zh-CN"/>
              </w:rPr>
              <w:t>符合</w:t>
            </w:r>
          </w:p>
        </w:tc>
      </w:tr>
      <w:tr w14:paraId="1D52BAE7">
        <w:tblPrEx>
          <w:tblCellMar>
            <w:top w:w="0" w:type="dxa"/>
            <w:left w:w="108" w:type="dxa"/>
            <w:bottom w:w="0" w:type="dxa"/>
            <w:right w:w="108" w:type="dxa"/>
          </w:tblCellMar>
        </w:tblPrEx>
        <w:trPr>
          <w:trHeight w:val="454" w:hRule="atLeast"/>
          <w:jc w:val="center"/>
        </w:trPr>
        <w:tc>
          <w:tcPr>
            <w:tcW w:w="612" w:type="dxa"/>
            <w:tcBorders>
              <w:top w:val="single" w:color="000000" w:sz="4" w:space="0"/>
              <w:left w:val="single" w:color="000000" w:sz="4" w:space="0"/>
              <w:bottom w:val="single" w:color="000000" w:sz="4" w:space="0"/>
              <w:right w:val="single" w:color="000000" w:sz="4" w:space="0"/>
            </w:tcBorders>
            <w:noWrap w:val="0"/>
            <w:vAlign w:val="center"/>
          </w:tcPr>
          <w:p w14:paraId="64D52579">
            <w:pPr>
              <w:pStyle w:val="50"/>
              <w:bidi w:val="0"/>
              <w:rPr>
                <w:rFonts w:hint="default"/>
                <w:color w:val="auto"/>
                <w:lang w:val="en-US" w:eastAsia="zh-CN"/>
              </w:rPr>
            </w:pPr>
            <w:r>
              <w:rPr>
                <w:rFonts w:hint="eastAsia"/>
                <w:color w:val="auto"/>
                <w:lang w:val="en-US" w:eastAsia="zh-CN"/>
              </w:rPr>
              <w:t>23</w:t>
            </w:r>
          </w:p>
        </w:tc>
        <w:tc>
          <w:tcPr>
            <w:tcW w:w="3683" w:type="dxa"/>
            <w:tcBorders>
              <w:top w:val="single" w:color="000000" w:sz="4" w:space="0"/>
              <w:left w:val="single" w:color="000000" w:sz="4" w:space="0"/>
              <w:bottom w:val="single" w:color="000000" w:sz="4" w:space="0"/>
              <w:right w:val="single" w:color="000000" w:sz="4" w:space="0"/>
            </w:tcBorders>
            <w:noWrap w:val="0"/>
            <w:vAlign w:val="center"/>
          </w:tcPr>
          <w:p w14:paraId="6CC565B3">
            <w:pPr>
              <w:pStyle w:val="50"/>
              <w:bidi w:val="0"/>
              <w:jc w:val="both"/>
              <w:rPr>
                <w:rFonts w:hint="eastAsia"/>
                <w:color w:val="auto"/>
              </w:rPr>
            </w:pPr>
            <w:r>
              <w:rPr>
                <w:rFonts w:hint="eastAsia"/>
                <w:color w:val="auto"/>
                <w:lang w:eastAsia="zh-CN"/>
              </w:rPr>
              <w:t>撬</w:t>
            </w:r>
            <w:r>
              <w:rPr>
                <w:rFonts w:hint="eastAsia"/>
                <w:color w:val="auto"/>
              </w:rPr>
              <w:t>装式汽油加油装置应采用卸油油气回收系统和加油油气回收系统。</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14:paraId="59EFEB0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橇装式汽车加油站技术标准</w:t>
            </w:r>
          </w:p>
          <w:p w14:paraId="09E92F1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SH/T3134-2023</w:t>
            </w:r>
          </w:p>
          <w:p w14:paraId="730F78F4">
            <w:pPr>
              <w:pStyle w:val="50"/>
              <w:keepNext w:val="0"/>
              <w:keepLines w:val="0"/>
              <w:pageBreakBefore w:val="0"/>
              <w:widowControl/>
              <w:kinsoku/>
              <w:wordWrap/>
              <w:overflowPunct/>
              <w:topLinePunct w:val="0"/>
              <w:autoSpaceDE/>
              <w:autoSpaceDN/>
              <w:bidi w:val="0"/>
              <w:adjustRightInd/>
              <w:snapToGrid/>
              <w:spacing w:line="280" w:lineRule="exact"/>
              <w:textAlignment w:val="auto"/>
              <w:rPr>
                <w:rFonts w:hint="default"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第5.2.2条</w:t>
            </w:r>
          </w:p>
        </w:tc>
        <w:tc>
          <w:tcPr>
            <w:tcW w:w="2240" w:type="dxa"/>
            <w:tcBorders>
              <w:top w:val="single" w:color="000000" w:sz="4" w:space="0"/>
              <w:left w:val="single" w:color="000000" w:sz="4" w:space="0"/>
              <w:bottom w:val="single" w:color="000000" w:sz="4" w:space="0"/>
              <w:right w:val="single" w:color="000000" w:sz="4" w:space="0"/>
            </w:tcBorders>
            <w:noWrap w:val="0"/>
            <w:vAlign w:val="center"/>
          </w:tcPr>
          <w:p w14:paraId="14615626">
            <w:pPr>
              <w:pStyle w:val="50"/>
              <w:bidi w:val="0"/>
              <w:rPr>
                <w:rFonts w:hint="eastAsia"/>
                <w:color w:val="auto"/>
              </w:rPr>
            </w:pPr>
            <w:r>
              <w:rPr>
                <w:rFonts w:hint="eastAsia"/>
                <w:color w:val="auto"/>
              </w:rPr>
              <w:t>采用卸油油气回收系统和加油油气回收系统</w:t>
            </w:r>
          </w:p>
        </w:tc>
        <w:tc>
          <w:tcPr>
            <w:tcW w:w="717" w:type="dxa"/>
            <w:tcBorders>
              <w:top w:val="single" w:color="000000" w:sz="4" w:space="0"/>
              <w:left w:val="single" w:color="000000" w:sz="4" w:space="0"/>
              <w:bottom w:val="single" w:color="000000" w:sz="4" w:space="0"/>
              <w:right w:val="single" w:color="000000" w:sz="4" w:space="0"/>
            </w:tcBorders>
            <w:noWrap w:val="0"/>
            <w:vAlign w:val="center"/>
          </w:tcPr>
          <w:p w14:paraId="0B6158F4">
            <w:pPr>
              <w:pStyle w:val="50"/>
              <w:bidi w:val="0"/>
              <w:rPr>
                <w:color w:val="auto"/>
              </w:rPr>
            </w:pPr>
            <w:r>
              <w:rPr>
                <w:color w:val="auto"/>
              </w:rPr>
              <w:t>符合</w:t>
            </w:r>
          </w:p>
        </w:tc>
      </w:tr>
      <w:tr w14:paraId="54DDA9DC">
        <w:tblPrEx>
          <w:tblCellMar>
            <w:top w:w="0" w:type="dxa"/>
            <w:left w:w="108" w:type="dxa"/>
            <w:bottom w:w="0" w:type="dxa"/>
            <w:right w:w="108" w:type="dxa"/>
          </w:tblCellMar>
        </w:tblPrEx>
        <w:trPr>
          <w:trHeight w:val="454" w:hRule="atLeast"/>
          <w:jc w:val="center"/>
        </w:trPr>
        <w:tc>
          <w:tcPr>
            <w:tcW w:w="612" w:type="dxa"/>
            <w:tcBorders>
              <w:top w:val="single" w:color="000000" w:sz="4" w:space="0"/>
              <w:left w:val="single" w:color="000000" w:sz="4" w:space="0"/>
              <w:bottom w:val="single" w:color="000000" w:sz="4" w:space="0"/>
              <w:right w:val="single" w:color="000000" w:sz="4" w:space="0"/>
            </w:tcBorders>
            <w:noWrap w:val="0"/>
            <w:vAlign w:val="center"/>
          </w:tcPr>
          <w:p w14:paraId="0108B782">
            <w:pPr>
              <w:pStyle w:val="50"/>
              <w:bidi w:val="0"/>
              <w:rPr>
                <w:rFonts w:hint="default"/>
                <w:color w:val="auto"/>
                <w:lang w:val="en-US" w:eastAsia="zh-CN"/>
              </w:rPr>
            </w:pPr>
            <w:r>
              <w:rPr>
                <w:rFonts w:hint="eastAsia"/>
                <w:color w:val="auto"/>
                <w:lang w:val="en-US" w:eastAsia="zh-CN"/>
              </w:rPr>
              <w:t>24</w:t>
            </w:r>
          </w:p>
        </w:tc>
        <w:tc>
          <w:tcPr>
            <w:tcW w:w="3683" w:type="dxa"/>
            <w:tcBorders>
              <w:top w:val="single" w:color="000000" w:sz="4" w:space="0"/>
              <w:left w:val="single" w:color="000000" w:sz="4" w:space="0"/>
              <w:bottom w:val="single" w:color="000000" w:sz="4" w:space="0"/>
              <w:right w:val="single" w:color="000000" w:sz="4" w:space="0"/>
            </w:tcBorders>
            <w:noWrap w:val="0"/>
            <w:vAlign w:val="center"/>
          </w:tcPr>
          <w:p w14:paraId="73828E70">
            <w:pPr>
              <w:pStyle w:val="50"/>
              <w:bidi w:val="0"/>
              <w:jc w:val="both"/>
              <w:rPr>
                <w:rFonts w:hint="eastAsia"/>
                <w:color w:val="auto"/>
              </w:rPr>
            </w:pPr>
            <w:r>
              <w:rPr>
                <w:rFonts w:hint="eastAsia"/>
                <w:color w:val="auto"/>
                <w:lang w:eastAsia="zh-CN"/>
              </w:rPr>
              <w:t>撬</w:t>
            </w:r>
            <w:r>
              <w:rPr>
                <w:rFonts w:hint="eastAsia"/>
                <w:color w:val="auto"/>
              </w:rPr>
              <w:t>装式加油装置的基础顶面应高于周围地坪0.2m~0.3m。</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14:paraId="7FB4D6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橇装式汽车加油站技术标准</w:t>
            </w:r>
          </w:p>
          <w:p w14:paraId="5A9C44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SH/T3134-2023</w:t>
            </w:r>
          </w:p>
          <w:p w14:paraId="43DFB00D">
            <w:pPr>
              <w:pStyle w:val="50"/>
              <w:keepNext w:val="0"/>
              <w:keepLines w:val="0"/>
              <w:pageBreakBefore w:val="0"/>
              <w:widowControl/>
              <w:kinsoku/>
              <w:wordWrap/>
              <w:overflowPunct/>
              <w:topLinePunct w:val="0"/>
              <w:autoSpaceDE/>
              <w:autoSpaceDN/>
              <w:bidi w:val="0"/>
              <w:adjustRightInd/>
              <w:snapToGrid/>
              <w:spacing w:line="280" w:lineRule="exact"/>
              <w:textAlignment w:val="auto"/>
              <w:rPr>
                <w:rFonts w:hint="default"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第5.2.3条</w:t>
            </w:r>
          </w:p>
        </w:tc>
        <w:tc>
          <w:tcPr>
            <w:tcW w:w="2240" w:type="dxa"/>
            <w:tcBorders>
              <w:top w:val="single" w:color="000000" w:sz="4" w:space="0"/>
              <w:left w:val="single" w:color="000000" w:sz="4" w:space="0"/>
              <w:bottom w:val="single" w:color="000000" w:sz="4" w:space="0"/>
              <w:right w:val="single" w:color="000000" w:sz="4" w:space="0"/>
            </w:tcBorders>
            <w:noWrap w:val="0"/>
            <w:vAlign w:val="center"/>
          </w:tcPr>
          <w:p w14:paraId="18127D6A">
            <w:pPr>
              <w:pStyle w:val="50"/>
              <w:bidi w:val="0"/>
              <w:rPr>
                <w:rFonts w:hint="eastAsia"/>
                <w:color w:val="auto"/>
              </w:rPr>
            </w:pPr>
            <w:r>
              <w:rPr>
                <w:rFonts w:hint="eastAsia"/>
                <w:color w:val="auto"/>
              </w:rPr>
              <w:t>基础顶面应高于周围地坪0.2mm</w:t>
            </w:r>
          </w:p>
        </w:tc>
        <w:tc>
          <w:tcPr>
            <w:tcW w:w="717" w:type="dxa"/>
            <w:tcBorders>
              <w:top w:val="single" w:color="000000" w:sz="4" w:space="0"/>
              <w:left w:val="single" w:color="000000" w:sz="4" w:space="0"/>
              <w:bottom w:val="single" w:color="000000" w:sz="4" w:space="0"/>
              <w:right w:val="single" w:color="000000" w:sz="4" w:space="0"/>
            </w:tcBorders>
            <w:noWrap w:val="0"/>
            <w:vAlign w:val="center"/>
          </w:tcPr>
          <w:p w14:paraId="32A29468">
            <w:pPr>
              <w:pStyle w:val="50"/>
              <w:bidi w:val="0"/>
              <w:rPr>
                <w:color w:val="auto"/>
              </w:rPr>
            </w:pPr>
            <w:r>
              <w:rPr>
                <w:rFonts w:hint="eastAsia"/>
                <w:color w:val="auto"/>
                <w:lang w:val="en-US" w:eastAsia="zh-CN"/>
              </w:rPr>
              <w:t>符合</w:t>
            </w:r>
          </w:p>
        </w:tc>
      </w:tr>
      <w:tr w14:paraId="0B5DF452">
        <w:tblPrEx>
          <w:tblCellMar>
            <w:top w:w="0" w:type="dxa"/>
            <w:left w:w="108" w:type="dxa"/>
            <w:bottom w:w="0" w:type="dxa"/>
            <w:right w:w="108" w:type="dxa"/>
          </w:tblCellMar>
        </w:tblPrEx>
        <w:trPr>
          <w:trHeight w:val="454" w:hRule="atLeast"/>
          <w:jc w:val="center"/>
        </w:trPr>
        <w:tc>
          <w:tcPr>
            <w:tcW w:w="612" w:type="dxa"/>
            <w:tcBorders>
              <w:top w:val="single" w:color="000000" w:sz="4" w:space="0"/>
              <w:left w:val="single" w:color="000000" w:sz="4" w:space="0"/>
              <w:bottom w:val="single" w:color="000000" w:sz="4" w:space="0"/>
              <w:right w:val="single" w:color="000000" w:sz="4" w:space="0"/>
            </w:tcBorders>
            <w:noWrap w:val="0"/>
            <w:vAlign w:val="center"/>
          </w:tcPr>
          <w:p w14:paraId="7756575E">
            <w:pPr>
              <w:pStyle w:val="50"/>
              <w:bidi w:val="0"/>
              <w:rPr>
                <w:rFonts w:hint="default"/>
                <w:color w:val="auto"/>
                <w:lang w:val="en-US" w:eastAsia="zh-CN"/>
              </w:rPr>
            </w:pPr>
            <w:r>
              <w:rPr>
                <w:rFonts w:hint="eastAsia"/>
                <w:color w:val="auto"/>
                <w:lang w:val="en-US" w:eastAsia="zh-CN"/>
              </w:rPr>
              <w:t>25</w:t>
            </w:r>
          </w:p>
        </w:tc>
        <w:tc>
          <w:tcPr>
            <w:tcW w:w="3683" w:type="dxa"/>
            <w:tcBorders>
              <w:top w:val="single" w:color="000000" w:sz="4" w:space="0"/>
              <w:left w:val="single" w:color="000000" w:sz="4" w:space="0"/>
              <w:bottom w:val="single" w:color="000000" w:sz="4" w:space="0"/>
              <w:right w:val="single" w:color="000000" w:sz="4" w:space="0"/>
            </w:tcBorders>
            <w:noWrap w:val="0"/>
            <w:vAlign w:val="center"/>
          </w:tcPr>
          <w:p w14:paraId="0CC5B307">
            <w:pPr>
              <w:pStyle w:val="50"/>
              <w:bidi w:val="0"/>
              <w:jc w:val="both"/>
              <w:rPr>
                <w:rFonts w:hint="eastAsia"/>
                <w:color w:val="auto"/>
              </w:rPr>
            </w:pPr>
            <w:r>
              <w:rPr>
                <w:rFonts w:hint="eastAsia"/>
                <w:color w:val="auto"/>
              </w:rPr>
              <w:t>装式加油装置临近行车道一侧应设防撞设施。</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14:paraId="53C2A2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橇装式汽车加油站技术标准</w:t>
            </w:r>
          </w:p>
          <w:p w14:paraId="2918C4A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SH/T3134-2023</w:t>
            </w:r>
          </w:p>
          <w:p w14:paraId="5EC61F8F">
            <w:pPr>
              <w:pStyle w:val="50"/>
              <w:keepNext w:val="0"/>
              <w:keepLines w:val="0"/>
              <w:pageBreakBefore w:val="0"/>
              <w:widowControl/>
              <w:kinsoku/>
              <w:wordWrap/>
              <w:overflowPunct/>
              <w:topLinePunct w:val="0"/>
              <w:autoSpaceDE/>
              <w:autoSpaceDN/>
              <w:bidi w:val="0"/>
              <w:adjustRightInd/>
              <w:snapToGrid/>
              <w:spacing w:line="280" w:lineRule="exact"/>
              <w:textAlignment w:val="auto"/>
              <w:rPr>
                <w:rFonts w:hint="default"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第5.2.4条</w:t>
            </w:r>
          </w:p>
        </w:tc>
        <w:tc>
          <w:tcPr>
            <w:tcW w:w="2240" w:type="dxa"/>
            <w:tcBorders>
              <w:top w:val="single" w:color="000000" w:sz="4" w:space="0"/>
              <w:left w:val="single" w:color="000000" w:sz="4" w:space="0"/>
              <w:bottom w:val="single" w:color="000000" w:sz="4" w:space="0"/>
              <w:right w:val="single" w:color="000000" w:sz="4" w:space="0"/>
            </w:tcBorders>
            <w:noWrap w:val="0"/>
            <w:vAlign w:val="center"/>
          </w:tcPr>
          <w:p w14:paraId="0D7D067F">
            <w:pPr>
              <w:pStyle w:val="50"/>
              <w:bidi w:val="0"/>
              <w:rPr>
                <w:rFonts w:hint="eastAsia"/>
                <w:color w:val="auto"/>
              </w:rPr>
            </w:pPr>
            <w:r>
              <w:rPr>
                <w:rFonts w:hint="eastAsia"/>
                <w:color w:val="auto"/>
                <w:lang w:val="en-US" w:eastAsia="zh-CN"/>
              </w:rPr>
              <w:t>装置两侧</w:t>
            </w:r>
            <w:r>
              <w:rPr>
                <w:rFonts w:hint="eastAsia"/>
                <w:color w:val="auto"/>
              </w:rPr>
              <w:t>设防撞设施</w:t>
            </w:r>
          </w:p>
        </w:tc>
        <w:tc>
          <w:tcPr>
            <w:tcW w:w="717" w:type="dxa"/>
            <w:tcBorders>
              <w:top w:val="single" w:color="000000" w:sz="4" w:space="0"/>
              <w:left w:val="single" w:color="000000" w:sz="4" w:space="0"/>
              <w:bottom w:val="single" w:color="000000" w:sz="4" w:space="0"/>
              <w:right w:val="single" w:color="000000" w:sz="4" w:space="0"/>
            </w:tcBorders>
            <w:noWrap w:val="0"/>
            <w:vAlign w:val="center"/>
          </w:tcPr>
          <w:p w14:paraId="76C18CC4">
            <w:pPr>
              <w:pStyle w:val="50"/>
              <w:bidi w:val="0"/>
              <w:rPr>
                <w:color w:val="auto"/>
              </w:rPr>
            </w:pPr>
            <w:r>
              <w:rPr>
                <w:color w:val="auto"/>
              </w:rPr>
              <w:t>符合</w:t>
            </w:r>
          </w:p>
        </w:tc>
      </w:tr>
      <w:tr w14:paraId="6B2E29C4">
        <w:tblPrEx>
          <w:tblCellMar>
            <w:top w:w="0" w:type="dxa"/>
            <w:left w:w="108" w:type="dxa"/>
            <w:bottom w:w="0" w:type="dxa"/>
            <w:right w:w="108" w:type="dxa"/>
          </w:tblCellMar>
        </w:tblPrEx>
        <w:trPr>
          <w:trHeight w:val="454" w:hRule="atLeast"/>
          <w:jc w:val="center"/>
        </w:trPr>
        <w:tc>
          <w:tcPr>
            <w:tcW w:w="612" w:type="dxa"/>
            <w:tcBorders>
              <w:top w:val="single" w:color="000000" w:sz="4" w:space="0"/>
              <w:left w:val="single" w:color="000000" w:sz="4" w:space="0"/>
              <w:bottom w:val="single" w:color="000000" w:sz="4" w:space="0"/>
              <w:right w:val="single" w:color="000000" w:sz="4" w:space="0"/>
            </w:tcBorders>
            <w:noWrap w:val="0"/>
            <w:vAlign w:val="center"/>
          </w:tcPr>
          <w:p w14:paraId="4AFFBF09">
            <w:pPr>
              <w:pStyle w:val="50"/>
              <w:bidi w:val="0"/>
              <w:rPr>
                <w:rFonts w:hint="default"/>
                <w:color w:val="auto"/>
                <w:lang w:val="en-US" w:eastAsia="zh-CN"/>
              </w:rPr>
            </w:pPr>
            <w:r>
              <w:rPr>
                <w:rFonts w:hint="eastAsia"/>
                <w:color w:val="auto"/>
                <w:lang w:val="en-US" w:eastAsia="zh-CN"/>
              </w:rPr>
              <w:t>26</w:t>
            </w:r>
          </w:p>
        </w:tc>
        <w:tc>
          <w:tcPr>
            <w:tcW w:w="3683" w:type="dxa"/>
            <w:tcBorders>
              <w:top w:val="single" w:color="000000" w:sz="4" w:space="0"/>
              <w:left w:val="single" w:color="000000" w:sz="4" w:space="0"/>
              <w:bottom w:val="single" w:color="000000" w:sz="4" w:space="0"/>
              <w:right w:val="single" w:color="000000" w:sz="4" w:space="0"/>
            </w:tcBorders>
            <w:noWrap w:val="0"/>
            <w:vAlign w:val="center"/>
          </w:tcPr>
          <w:p w14:paraId="40E99A94">
            <w:pPr>
              <w:pStyle w:val="50"/>
              <w:bidi w:val="0"/>
              <w:jc w:val="both"/>
              <w:rPr>
                <w:rFonts w:hint="eastAsia"/>
                <w:color w:val="auto"/>
              </w:rPr>
            </w:pPr>
            <w:r>
              <w:rPr>
                <w:rFonts w:hint="eastAsia"/>
                <w:color w:val="auto"/>
                <w:lang w:eastAsia="zh-CN"/>
              </w:rPr>
              <w:t>撬</w:t>
            </w:r>
            <w:r>
              <w:rPr>
                <w:rFonts w:hint="eastAsia"/>
                <w:color w:val="auto"/>
              </w:rPr>
              <w:t>装式加油装置四周应设围堰，围堰应采用不燃烧实体材料建造，且不应渗漏。</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14:paraId="597AEE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橇装式汽车加油站技术标准</w:t>
            </w:r>
          </w:p>
          <w:p w14:paraId="39FE75C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SH/T3134-2023</w:t>
            </w:r>
          </w:p>
          <w:p w14:paraId="78435DD3">
            <w:pPr>
              <w:pStyle w:val="50"/>
              <w:keepNext w:val="0"/>
              <w:keepLines w:val="0"/>
              <w:pageBreakBefore w:val="0"/>
              <w:widowControl/>
              <w:kinsoku/>
              <w:wordWrap/>
              <w:overflowPunct/>
              <w:topLinePunct w:val="0"/>
              <w:autoSpaceDE/>
              <w:autoSpaceDN/>
              <w:bidi w:val="0"/>
              <w:adjustRightInd/>
              <w:snapToGrid/>
              <w:spacing w:line="280" w:lineRule="exact"/>
              <w:textAlignment w:val="auto"/>
              <w:rPr>
                <w:rFonts w:hint="default"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第5.2.5条</w:t>
            </w:r>
          </w:p>
        </w:tc>
        <w:tc>
          <w:tcPr>
            <w:tcW w:w="2240" w:type="dxa"/>
            <w:tcBorders>
              <w:top w:val="single" w:color="000000" w:sz="4" w:space="0"/>
              <w:left w:val="single" w:color="000000" w:sz="4" w:space="0"/>
              <w:bottom w:val="single" w:color="000000" w:sz="4" w:space="0"/>
              <w:right w:val="single" w:color="000000" w:sz="4" w:space="0"/>
            </w:tcBorders>
            <w:noWrap w:val="0"/>
            <w:vAlign w:val="center"/>
          </w:tcPr>
          <w:p w14:paraId="1B5443B3">
            <w:pPr>
              <w:pStyle w:val="50"/>
              <w:bidi w:val="0"/>
              <w:rPr>
                <w:rFonts w:hint="eastAsia"/>
                <w:color w:val="auto"/>
              </w:rPr>
            </w:pPr>
            <w:r>
              <w:rPr>
                <w:rFonts w:hint="eastAsia"/>
                <w:color w:val="auto"/>
              </w:rPr>
              <w:t>装置四周设</w:t>
            </w:r>
            <w:r>
              <w:rPr>
                <w:rFonts w:hint="eastAsia"/>
                <w:color w:val="auto"/>
                <w:lang w:val="en-US" w:eastAsia="zh-CN"/>
              </w:rPr>
              <w:t>有</w:t>
            </w:r>
            <w:r>
              <w:rPr>
                <w:rFonts w:hint="eastAsia"/>
                <w:color w:val="auto"/>
              </w:rPr>
              <w:t>围堰</w:t>
            </w:r>
          </w:p>
        </w:tc>
        <w:tc>
          <w:tcPr>
            <w:tcW w:w="717" w:type="dxa"/>
            <w:tcBorders>
              <w:top w:val="single" w:color="000000" w:sz="4" w:space="0"/>
              <w:left w:val="single" w:color="000000" w:sz="4" w:space="0"/>
              <w:bottom w:val="single" w:color="000000" w:sz="4" w:space="0"/>
              <w:right w:val="single" w:color="000000" w:sz="4" w:space="0"/>
            </w:tcBorders>
            <w:noWrap w:val="0"/>
            <w:vAlign w:val="center"/>
          </w:tcPr>
          <w:p w14:paraId="0934FB4C">
            <w:pPr>
              <w:pStyle w:val="50"/>
              <w:bidi w:val="0"/>
              <w:rPr>
                <w:color w:val="auto"/>
              </w:rPr>
            </w:pPr>
            <w:r>
              <w:rPr>
                <w:rFonts w:hint="eastAsia"/>
                <w:color w:val="auto"/>
                <w:lang w:val="en-US" w:eastAsia="zh-CN"/>
              </w:rPr>
              <w:t>符合</w:t>
            </w:r>
          </w:p>
        </w:tc>
      </w:tr>
      <w:tr w14:paraId="5810F2B5">
        <w:tblPrEx>
          <w:tblCellMar>
            <w:top w:w="0" w:type="dxa"/>
            <w:left w:w="108" w:type="dxa"/>
            <w:bottom w:w="0" w:type="dxa"/>
            <w:right w:w="108" w:type="dxa"/>
          </w:tblCellMar>
        </w:tblPrEx>
        <w:trPr>
          <w:trHeight w:val="454" w:hRule="atLeast"/>
          <w:jc w:val="center"/>
        </w:trPr>
        <w:tc>
          <w:tcPr>
            <w:tcW w:w="612" w:type="dxa"/>
            <w:tcBorders>
              <w:top w:val="single" w:color="000000" w:sz="4" w:space="0"/>
              <w:left w:val="single" w:color="000000" w:sz="4" w:space="0"/>
              <w:bottom w:val="single" w:color="000000" w:sz="4" w:space="0"/>
              <w:right w:val="single" w:color="000000" w:sz="4" w:space="0"/>
            </w:tcBorders>
            <w:noWrap w:val="0"/>
            <w:vAlign w:val="center"/>
          </w:tcPr>
          <w:p w14:paraId="3B583F79">
            <w:pPr>
              <w:pStyle w:val="50"/>
              <w:bidi w:val="0"/>
              <w:rPr>
                <w:rFonts w:hint="default"/>
                <w:color w:val="auto"/>
                <w:lang w:val="en-US" w:eastAsia="zh-CN"/>
              </w:rPr>
            </w:pPr>
            <w:r>
              <w:rPr>
                <w:rFonts w:hint="eastAsia"/>
                <w:color w:val="auto"/>
                <w:lang w:val="en-US" w:eastAsia="zh-CN"/>
              </w:rPr>
              <w:t>27</w:t>
            </w:r>
          </w:p>
        </w:tc>
        <w:tc>
          <w:tcPr>
            <w:tcW w:w="3683" w:type="dxa"/>
            <w:tcBorders>
              <w:top w:val="single" w:color="000000" w:sz="4" w:space="0"/>
              <w:left w:val="single" w:color="000000" w:sz="4" w:space="0"/>
              <w:bottom w:val="single" w:color="000000" w:sz="4" w:space="0"/>
              <w:right w:val="single" w:color="000000" w:sz="4" w:space="0"/>
            </w:tcBorders>
            <w:noWrap w:val="0"/>
            <w:vAlign w:val="center"/>
          </w:tcPr>
          <w:p w14:paraId="24C53519">
            <w:pPr>
              <w:pStyle w:val="50"/>
              <w:bidi w:val="0"/>
              <w:jc w:val="both"/>
              <w:rPr>
                <w:rFonts w:hint="eastAsia"/>
                <w:color w:val="auto"/>
              </w:rPr>
            </w:pPr>
            <w:r>
              <w:rPr>
                <w:rFonts w:hint="eastAsia"/>
                <w:color w:val="auto"/>
              </w:rPr>
              <w:t>装式加油装置的供配电系统、报警系统、紧急切断系统、防雷和防静电设施设计应符合GB50156的有关规定。</w:t>
            </w:r>
          </w:p>
        </w:tc>
        <w:tc>
          <w:tcPr>
            <w:tcW w:w="1819" w:type="dxa"/>
            <w:tcBorders>
              <w:top w:val="single" w:color="000000" w:sz="4" w:space="0"/>
              <w:left w:val="single" w:color="000000" w:sz="4" w:space="0"/>
              <w:bottom w:val="single" w:color="000000" w:sz="4" w:space="0"/>
              <w:right w:val="single" w:color="000000" w:sz="4" w:space="0"/>
            </w:tcBorders>
            <w:noWrap w:val="0"/>
            <w:vAlign w:val="center"/>
          </w:tcPr>
          <w:p w14:paraId="3E43C7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橇装式汽车加油站技术标准</w:t>
            </w:r>
          </w:p>
          <w:p w14:paraId="59D2EB2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SH/T3134-2023</w:t>
            </w:r>
          </w:p>
          <w:p w14:paraId="3496BC98">
            <w:pPr>
              <w:pStyle w:val="50"/>
              <w:keepNext w:val="0"/>
              <w:keepLines w:val="0"/>
              <w:pageBreakBefore w:val="0"/>
              <w:widowControl/>
              <w:kinsoku/>
              <w:wordWrap/>
              <w:overflowPunct/>
              <w:topLinePunct w:val="0"/>
              <w:autoSpaceDE/>
              <w:autoSpaceDN/>
              <w:bidi w:val="0"/>
              <w:adjustRightInd/>
              <w:snapToGrid/>
              <w:spacing w:line="280" w:lineRule="exact"/>
              <w:textAlignment w:val="auto"/>
              <w:rPr>
                <w:rFonts w:hint="default" w:ascii="Times New Roman" w:hAnsi="Times New Roman" w:eastAsia="宋体"/>
                <w:color w:val="auto"/>
                <w:kern w:val="2"/>
                <w:sz w:val="21"/>
                <w:szCs w:val="21"/>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第5.2.6条</w:t>
            </w:r>
          </w:p>
        </w:tc>
        <w:tc>
          <w:tcPr>
            <w:tcW w:w="2240" w:type="dxa"/>
            <w:tcBorders>
              <w:top w:val="single" w:color="000000" w:sz="4" w:space="0"/>
              <w:left w:val="single" w:color="000000" w:sz="4" w:space="0"/>
              <w:bottom w:val="single" w:color="000000" w:sz="4" w:space="0"/>
              <w:right w:val="single" w:color="000000" w:sz="4" w:space="0"/>
            </w:tcBorders>
            <w:noWrap w:val="0"/>
            <w:vAlign w:val="center"/>
          </w:tcPr>
          <w:p w14:paraId="4ED96CB4">
            <w:pPr>
              <w:pStyle w:val="50"/>
              <w:bidi w:val="0"/>
              <w:rPr>
                <w:rFonts w:hint="default" w:eastAsia="宋体"/>
                <w:color w:val="auto"/>
                <w:lang w:val="en-US" w:eastAsia="zh-CN"/>
              </w:rPr>
            </w:pPr>
            <w:r>
              <w:rPr>
                <w:rFonts w:hint="eastAsia"/>
                <w:color w:val="auto"/>
                <w:lang w:val="en-US" w:eastAsia="zh-CN"/>
              </w:rPr>
              <w:t>符合有关规定</w:t>
            </w:r>
          </w:p>
        </w:tc>
        <w:tc>
          <w:tcPr>
            <w:tcW w:w="717" w:type="dxa"/>
            <w:tcBorders>
              <w:top w:val="single" w:color="000000" w:sz="4" w:space="0"/>
              <w:left w:val="single" w:color="000000" w:sz="4" w:space="0"/>
              <w:bottom w:val="single" w:color="000000" w:sz="4" w:space="0"/>
              <w:right w:val="single" w:color="000000" w:sz="4" w:space="0"/>
            </w:tcBorders>
            <w:noWrap w:val="0"/>
            <w:vAlign w:val="center"/>
          </w:tcPr>
          <w:p w14:paraId="0EC0581D">
            <w:pPr>
              <w:pStyle w:val="50"/>
              <w:bidi w:val="0"/>
              <w:rPr>
                <w:color w:val="auto"/>
              </w:rPr>
            </w:pPr>
            <w:r>
              <w:rPr>
                <w:color w:val="auto"/>
              </w:rPr>
              <w:t>符合</w:t>
            </w:r>
          </w:p>
        </w:tc>
      </w:tr>
      <w:bookmarkEnd w:id="105"/>
    </w:tbl>
    <w:p w14:paraId="4FDA2DFB">
      <w:pPr>
        <w:pStyle w:val="4"/>
        <w:bidi w:val="0"/>
        <w:rPr>
          <w:rFonts w:hint="default"/>
          <w:lang w:val="en-US" w:eastAsia="zh-CN"/>
        </w:rPr>
      </w:pPr>
      <w:bookmarkStart w:id="106" w:name="_Toc16039"/>
      <w:r>
        <w:rPr>
          <w:rFonts w:hint="default"/>
          <w:lang w:val="en-US" w:eastAsia="zh-CN"/>
        </w:rPr>
        <w:t>F3.3.2</w:t>
      </w:r>
      <w:r>
        <w:rPr>
          <w:rFonts w:hint="eastAsia"/>
          <w:lang w:val="en-US" w:eastAsia="zh-CN"/>
        </w:rPr>
        <w:t xml:space="preserve"> </w:t>
      </w:r>
      <w:r>
        <w:rPr>
          <w:rFonts w:hint="default"/>
          <w:lang w:val="en-US" w:eastAsia="zh-CN"/>
        </w:rPr>
        <w:t>危险性分析评价</w:t>
      </w:r>
      <w:bookmarkEnd w:id="106"/>
    </w:p>
    <w:p w14:paraId="021B0FA4">
      <w:pPr>
        <w:bidi w:val="0"/>
        <w:rPr>
          <w:rFonts w:hint="default"/>
          <w:lang w:val="en-US" w:eastAsia="zh-CN"/>
        </w:rPr>
      </w:pPr>
      <w:r>
        <w:rPr>
          <w:rFonts w:hint="default"/>
          <w:lang w:val="en-US" w:eastAsia="zh-CN"/>
        </w:rPr>
        <w:t>本评价单元分为装置区。</w:t>
      </w:r>
    </w:p>
    <w:p w14:paraId="558A291D">
      <w:pPr>
        <w:bidi w:val="0"/>
        <w:rPr>
          <w:rFonts w:hint="default"/>
          <w:lang w:val="en-US" w:eastAsia="zh-CN"/>
        </w:rPr>
      </w:pPr>
      <w:r>
        <w:rPr>
          <w:rFonts w:hint="default"/>
          <w:lang w:val="en-US" w:eastAsia="zh-CN"/>
        </w:rPr>
        <w:t>装置区主要危险物质为柴油。</w:t>
      </w:r>
    </w:p>
    <w:p w14:paraId="2F2FBCFC">
      <w:pPr>
        <w:bidi w:val="0"/>
        <w:rPr>
          <w:rFonts w:hint="default"/>
          <w:lang w:val="en-US" w:eastAsia="zh-CN"/>
        </w:rPr>
      </w:pPr>
      <w:r>
        <w:rPr>
          <w:rFonts w:hint="default"/>
          <w:lang w:val="en-US" w:eastAsia="zh-CN"/>
        </w:rPr>
        <w:t>柴油属丙</w:t>
      </w:r>
      <w:r>
        <w:rPr>
          <w:rFonts w:hint="default"/>
          <w:vertAlign w:val="subscript"/>
          <w:lang w:val="en-US" w:eastAsia="zh-CN"/>
        </w:rPr>
        <w:t>A</w:t>
      </w:r>
      <w:r>
        <w:rPr>
          <w:rFonts w:hint="default"/>
          <w:lang w:val="en-US" w:eastAsia="zh-CN"/>
        </w:rPr>
        <w:t>类易燃液体，故物质取2分；</w:t>
      </w:r>
    </w:p>
    <w:p w14:paraId="1F73403C">
      <w:pPr>
        <w:bidi w:val="0"/>
        <w:rPr>
          <w:rFonts w:hint="default"/>
          <w:lang w:val="en-US" w:eastAsia="zh-CN"/>
        </w:rPr>
      </w:pPr>
      <w:r>
        <w:rPr>
          <w:rFonts w:hint="default"/>
          <w:lang w:val="en-US" w:eastAsia="zh-CN"/>
        </w:rPr>
        <w:t>装置区柴油最大储量为30m</w:t>
      </w:r>
      <w:r>
        <w:rPr>
          <w:rFonts w:hint="default"/>
          <w:vertAlign w:val="superscript"/>
          <w:lang w:val="en-US" w:eastAsia="zh-CN"/>
        </w:rPr>
        <w:t>3</w:t>
      </w:r>
      <w:r>
        <w:rPr>
          <w:rFonts w:hint="default"/>
          <w:lang w:val="en-US" w:eastAsia="zh-CN"/>
        </w:rPr>
        <w:t>，故容量取2分；</w:t>
      </w:r>
    </w:p>
    <w:p w14:paraId="6E23EF58">
      <w:pPr>
        <w:bidi w:val="0"/>
        <w:rPr>
          <w:rFonts w:hint="default"/>
          <w:lang w:val="en-US" w:eastAsia="zh-CN"/>
        </w:rPr>
      </w:pPr>
      <w:r>
        <w:rPr>
          <w:rFonts w:hint="default"/>
          <w:lang w:val="en-US" w:eastAsia="zh-CN"/>
        </w:rPr>
        <w:t>本单元在常温、常压下储存，故温度、压力取0分。</w:t>
      </w:r>
    </w:p>
    <w:p w14:paraId="26CA41A1">
      <w:pPr>
        <w:bidi w:val="0"/>
        <w:rPr>
          <w:rFonts w:hint="default"/>
          <w:lang w:val="en-US" w:eastAsia="zh-CN"/>
        </w:rPr>
      </w:pPr>
      <w:r>
        <w:rPr>
          <w:rFonts w:hint="default"/>
          <w:lang w:val="en-US" w:eastAsia="zh-CN"/>
        </w:rPr>
        <w:t>有一定危险的操作，故操作取2分。</w:t>
      </w:r>
    </w:p>
    <w:p w14:paraId="384A0C01">
      <w:pPr>
        <w:bidi w:val="0"/>
        <w:rPr>
          <w:rFonts w:hint="default"/>
          <w:lang w:val="en-US" w:eastAsia="zh-CN"/>
        </w:rPr>
      </w:pPr>
      <w:r>
        <w:rPr>
          <w:rFonts w:hint="default"/>
          <w:lang w:val="en-US" w:eastAsia="zh-CN"/>
        </w:rPr>
        <w:t>装置区柴油罐取值为6分，为</w:t>
      </w:r>
      <w:r>
        <w:rPr>
          <w:rFonts w:hint="eastAsia" w:ascii="宋体" w:hAnsi="宋体" w:eastAsia="宋体" w:cs="宋体"/>
          <w:lang w:val="en-US" w:eastAsia="zh-CN"/>
        </w:rPr>
        <w:t>Ⅲ</w:t>
      </w:r>
      <w:r>
        <w:rPr>
          <w:rFonts w:hint="default"/>
          <w:lang w:val="en-US" w:eastAsia="zh-CN"/>
        </w:rPr>
        <w:t>级，属低度危险。</w:t>
      </w:r>
    </w:p>
    <w:p w14:paraId="4049A068">
      <w:pPr>
        <w:bidi w:val="0"/>
        <w:rPr>
          <w:rFonts w:hint="default"/>
          <w:lang w:val="en-US" w:eastAsia="zh-CN"/>
        </w:rPr>
      </w:pPr>
      <w:r>
        <w:rPr>
          <w:rFonts w:hint="default"/>
          <w:lang w:val="en-US" w:eastAsia="zh-CN"/>
        </w:rPr>
        <w:t>装置区的危险度取值见表</w:t>
      </w:r>
      <w:r>
        <w:rPr>
          <w:rFonts w:hint="eastAsia"/>
          <w:lang w:val="en-US" w:eastAsia="zh-CN"/>
        </w:rPr>
        <w:t>F3.3</w:t>
      </w:r>
      <w:r>
        <w:rPr>
          <w:rFonts w:hint="default"/>
          <w:lang w:val="en-US" w:eastAsia="zh-CN"/>
        </w:rPr>
        <w:t>-</w:t>
      </w:r>
      <w:r>
        <w:rPr>
          <w:rFonts w:hint="eastAsia"/>
          <w:lang w:val="en-US" w:eastAsia="zh-CN"/>
        </w:rPr>
        <w:t>2</w:t>
      </w:r>
      <w:r>
        <w:rPr>
          <w:rFonts w:hint="default"/>
          <w:lang w:val="en-US" w:eastAsia="zh-CN"/>
        </w:rPr>
        <w:t>所示。</w:t>
      </w:r>
    </w:p>
    <w:p w14:paraId="16E99BB3">
      <w:pPr>
        <w:bidi w:val="0"/>
        <w:ind w:left="0" w:leftChars="0" w:firstLine="0" w:firstLineChars="0"/>
        <w:jc w:val="center"/>
        <w:rPr>
          <w:rFonts w:hint="default"/>
          <w:lang w:val="en-US" w:eastAsia="zh-CN"/>
        </w:rPr>
      </w:pPr>
      <w:r>
        <w:rPr>
          <w:rFonts w:hint="default"/>
          <w:lang w:val="en-US" w:eastAsia="zh-CN"/>
        </w:rPr>
        <w:t>表F3.3-2 装置区单元危险度取值表</w:t>
      </w:r>
    </w:p>
    <w:tbl>
      <w:tblPr>
        <w:tblStyle w:val="20"/>
        <w:tblW w:w="464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52"/>
        <w:gridCol w:w="1959"/>
        <w:gridCol w:w="2960"/>
        <w:gridCol w:w="2240"/>
        <w:gridCol w:w="719"/>
      </w:tblGrid>
      <w:tr w14:paraId="79A189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35" w:type="pct"/>
            <w:noWrap w:val="0"/>
            <w:vAlign w:val="center"/>
          </w:tcPr>
          <w:p w14:paraId="3B8D09D8">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b/>
                <w:bCs/>
                <w:color w:val="auto"/>
              </w:rPr>
            </w:pPr>
            <w:r>
              <w:rPr>
                <w:b/>
                <w:bCs/>
                <w:color w:val="auto"/>
              </w:rPr>
              <w:t>序号</w:t>
            </w:r>
          </w:p>
        </w:tc>
        <w:tc>
          <w:tcPr>
            <w:tcW w:w="1134" w:type="pct"/>
            <w:noWrap w:val="0"/>
            <w:vAlign w:val="center"/>
          </w:tcPr>
          <w:p w14:paraId="29E23728">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b/>
                <w:bCs/>
                <w:color w:val="auto"/>
              </w:rPr>
            </w:pPr>
            <w:r>
              <w:rPr>
                <w:b/>
                <w:bCs/>
                <w:color w:val="auto"/>
              </w:rPr>
              <w:t>项目</w:t>
            </w:r>
          </w:p>
        </w:tc>
        <w:tc>
          <w:tcPr>
            <w:tcW w:w="1715" w:type="pct"/>
            <w:noWrap w:val="0"/>
            <w:vAlign w:val="center"/>
          </w:tcPr>
          <w:p w14:paraId="42DD77DE">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b/>
                <w:bCs/>
                <w:color w:val="auto"/>
              </w:rPr>
            </w:pPr>
            <w:r>
              <w:rPr>
                <w:b/>
                <w:bCs/>
                <w:color w:val="auto"/>
              </w:rPr>
              <w:t>情况描述</w:t>
            </w:r>
          </w:p>
        </w:tc>
        <w:tc>
          <w:tcPr>
            <w:tcW w:w="1297" w:type="pct"/>
            <w:noWrap w:val="0"/>
            <w:vAlign w:val="center"/>
          </w:tcPr>
          <w:p w14:paraId="618EC904">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b/>
                <w:bCs/>
                <w:color w:val="auto"/>
              </w:rPr>
            </w:pPr>
            <w:r>
              <w:rPr>
                <w:b/>
                <w:bCs/>
                <w:color w:val="auto"/>
              </w:rPr>
              <w:t>危险度取值分数</w:t>
            </w:r>
          </w:p>
        </w:tc>
        <w:tc>
          <w:tcPr>
            <w:tcW w:w="416" w:type="pct"/>
            <w:noWrap w:val="0"/>
            <w:vAlign w:val="center"/>
          </w:tcPr>
          <w:p w14:paraId="5936D6C4">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b/>
                <w:bCs/>
                <w:color w:val="auto"/>
              </w:rPr>
            </w:pPr>
            <w:r>
              <w:rPr>
                <w:b/>
                <w:bCs/>
                <w:color w:val="auto"/>
              </w:rPr>
              <w:t>备注</w:t>
            </w:r>
          </w:p>
        </w:tc>
      </w:tr>
      <w:tr w14:paraId="1C6134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35" w:type="pct"/>
            <w:noWrap w:val="0"/>
            <w:vAlign w:val="center"/>
          </w:tcPr>
          <w:p w14:paraId="596BEDF2">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color w:val="auto"/>
              </w:rPr>
            </w:pPr>
            <w:r>
              <w:rPr>
                <w:color w:val="auto"/>
              </w:rPr>
              <w:t>1</w:t>
            </w:r>
          </w:p>
        </w:tc>
        <w:tc>
          <w:tcPr>
            <w:tcW w:w="1134" w:type="pct"/>
            <w:noWrap w:val="0"/>
            <w:vAlign w:val="center"/>
          </w:tcPr>
          <w:p w14:paraId="794CDB0F">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color w:val="auto"/>
              </w:rPr>
            </w:pPr>
            <w:r>
              <w:rPr>
                <w:color w:val="auto"/>
              </w:rPr>
              <w:t>物质</w:t>
            </w:r>
          </w:p>
        </w:tc>
        <w:tc>
          <w:tcPr>
            <w:tcW w:w="1715" w:type="pct"/>
            <w:noWrap w:val="0"/>
            <w:vAlign w:val="center"/>
          </w:tcPr>
          <w:p w14:paraId="60B250E5">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color w:val="auto"/>
              </w:rPr>
            </w:pPr>
            <w:r>
              <w:rPr>
                <w:rFonts w:hint="eastAsia"/>
                <w:color w:val="auto"/>
              </w:rPr>
              <w:t>柴油</w:t>
            </w:r>
            <w:r>
              <w:rPr>
                <w:color w:val="auto"/>
              </w:rPr>
              <w:t>属</w:t>
            </w:r>
            <w:r>
              <w:rPr>
                <w:rFonts w:hint="eastAsia"/>
                <w:color w:val="auto"/>
              </w:rPr>
              <w:t>丙</w:t>
            </w:r>
            <w:r>
              <w:rPr>
                <w:rFonts w:hint="eastAsia"/>
                <w:color w:val="auto"/>
                <w:vertAlign w:val="subscript"/>
              </w:rPr>
              <w:t>A</w:t>
            </w:r>
            <w:r>
              <w:rPr>
                <w:color w:val="auto"/>
              </w:rPr>
              <w:t>类易燃液体</w:t>
            </w:r>
          </w:p>
        </w:tc>
        <w:tc>
          <w:tcPr>
            <w:tcW w:w="1297" w:type="pct"/>
            <w:noWrap w:val="0"/>
            <w:vAlign w:val="center"/>
          </w:tcPr>
          <w:p w14:paraId="0E5A7D1D">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color w:val="auto"/>
              </w:rPr>
            </w:pPr>
            <w:r>
              <w:rPr>
                <w:rFonts w:hint="eastAsia"/>
                <w:color w:val="auto"/>
              </w:rPr>
              <w:t>2</w:t>
            </w:r>
          </w:p>
        </w:tc>
        <w:tc>
          <w:tcPr>
            <w:tcW w:w="416" w:type="pct"/>
            <w:noWrap w:val="0"/>
            <w:vAlign w:val="center"/>
          </w:tcPr>
          <w:p w14:paraId="14399E55">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color w:val="auto"/>
              </w:rPr>
            </w:pPr>
          </w:p>
        </w:tc>
      </w:tr>
      <w:tr w14:paraId="1B8236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35" w:type="pct"/>
            <w:noWrap w:val="0"/>
            <w:vAlign w:val="center"/>
          </w:tcPr>
          <w:p w14:paraId="7785DA15">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color w:val="auto"/>
              </w:rPr>
            </w:pPr>
            <w:r>
              <w:rPr>
                <w:color w:val="auto"/>
              </w:rPr>
              <w:t>2</w:t>
            </w:r>
          </w:p>
        </w:tc>
        <w:tc>
          <w:tcPr>
            <w:tcW w:w="1134" w:type="pct"/>
            <w:noWrap w:val="0"/>
            <w:vAlign w:val="center"/>
          </w:tcPr>
          <w:p w14:paraId="2E57A4F1">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color w:val="auto"/>
              </w:rPr>
            </w:pPr>
            <w:r>
              <w:rPr>
                <w:color w:val="auto"/>
              </w:rPr>
              <w:t>容量</w:t>
            </w:r>
          </w:p>
        </w:tc>
        <w:tc>
          <w:tcPr>
            <w:tcW w:w="1715" w:type="pct"/>
            <w:noWrap w:val="0"/>
            <w:vAlign w:val="center"/>
          </w:tcPr>
          <w:p w14:paraId="4FD6415E">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color w:val="auto"/>
              </w:rPr>
            </w:pPr>
            <w:r>
              <w:rPr>
                <w:rFonts w:hint="eastAsia"/>
                <w:color w:val="auto"/>
              </w:rPr>
              <w:t>液体</w:t>
            </w:r>
            <w:r>
              <w:rPr>
                <w:rFonts w:hint="eastAsia"/>
                <w:color w:val="auto"/>
                <w:lang w:val="en-US" w:eastAsia="zh-CN"/>
              </w:rPr>
              <w:t>3</w:t>
            </w:r>
            <w:r>
              <w:rPr>
                <w:rFonts w:hint="eastAsia"/>
                <w:color w:val="auto"/>
              </w:rPr>
              <w:t>0</w:t>
            </w:r>
            <w:r>
              <w:rPr>
                <w:color w:val="auto"/>
              </w:rPr>
              <w:t>m</w:t>
            </w:r>
            <w:r>
              <w:rPr>
                <w:color w:val="auto"/>
                <w:vertAlign w:val="superscript"/>
              </w:rPr>
              <w:t>3</w:t>
            </w:r>
          </w:p>
        </w:tc>
        <w:tc>
          <w:tcPr>
            <w:tcW w:w="1297" w:type="pct"/>
            <w:noWrap w:val="0"/>
            <w:vAlign w:val="center"/>
          </w:tcPr>
          <w:p w14:paraId="2E8AF77A">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color w:val="auto"/>
              </w:rPr>
            </w:pPr>
            <w:r>
              <w:rPr>
                <w:rFonts w:hint="eastAsia"/>
                <w:color w:val="auto"/>
              </w:rPr>
              <w:t>2</w:t>
            </w:r>
          </w:p>
        </w:tc>
        <w:tc>
          <w:tcPr>
            <w:tcW w:w="416" w:type="pct"/>
            <w:noWrap w:val="0"/>
            <w:vAlign w:val="center"/>
          </w:tcPr>
          <w:p w14:paraId="1EE7F55A">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color w:val="auto"/>
              </w:rPr>
            </w:pPr>
          </w:p>
        </w:tc>
      </w:tr>
      <w:tr w14:paraId="683CBB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35" w:type="pct"/>
            <w:noWrap w:val="0"/>
            <w:vAlign w:val="center"/>
          </w:tcPr>
          <w:p w14:paraId="4B34A8E0">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color w:val="auto"/>
              </w:rPr>
            </w:pPr>
            <w:r>
              <w:rPr>
                <w:color w:val="auto"/>
              </w:rPr>
              <w:t>3</w:t>
            </w:r>
          </w:p>
        </w:tc>
        <w:tc>
          <w:tcPr>
            <w:tcW w:w="1134" w:type="pct"/>
            <w:noWrap w:val="0"/>
            <w:vAlign w:val="center"/>
          </w:tcPr>
          <w:p w14:paraId="43D5FEFA">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color w:val="auto"/>
              </w:rPr>
            </w:pPr>
            <w:r>
              <w:rPr>
                <w:color w:val="auto"/>
              </w:rPr>
              <w:t>温度</w:t>
            </w:r>
          </w:p>
        </w:tc>
        <w:tc>
          <w:tcPr>
            <w:tcW w:w="1715" w:type="pct"/>
            <w:noWrap w:val="0"/>
            <w:vAlign w:val="center"/>
          </w:tcPr>
          <w:p w14:paraId="7E750560">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color w:val="auto"/>
              </w:rPr>
            </w:pPr>
            <w:r>
              <w:rPr>
                <w:color w:val="auto"/>
              </w:rPr>
              <w:t>常温储存</w:t>
            </w:r>
          </w:p>
        </w:tc>
        <w:tc>
          <w:tcPr>
            <w:tcW w:w="1297" w:type="pct"/>
            <w:noWrap w:val="0"/>
            <w:vAlign w:val="center"/>
          </w:tcPr>
          <w:p w14:paraId="4CADB4D9">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color w:val="auto"/>
              </w:rPr>
            </w:pPr>
            <w:r>
              <w:rPr>
                <w:color w:val="auto"/>
              </w:rPr>
              <w:t>0</w:t>
            </w:r>
          </w:p>
        </w:tc>
        <w:tc>
          <w:tcPr>
            <w:tcW w:w="416" w:type="pct"/>
            <w:noWrap w:val="0"/>
            <w:vAlign w:val="center"/>
          </w:tcPr>
          <w:p w14:paraId="67EECAC7">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color w:val="auto"/>
              </w:rPr>
            </w:pPr>
          </w:p>
        </w:tc>
      </w:tr>
      <w:tr w14:paraId="767B1F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35" w:type="pct"/>
            <w:noWrap w:val="0"/>
            <w:vAlign w:val="center"/>
          </w:tcPr>
          <w:p w14:paraId="41327029">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color w:val="auto"/>
              </w:rPr>
            </w:pPr>
            <w:r>
              <w:rPr>
                <w:color w:val="auto"/>
              </w:rPr>
              <w:t>4</w:t>
            </w:r>
          </w:p>
        </w:tc>
        <w:tc>
          <w:tcPr>
            <w:tcW w:w="1134" w:type="pct"/>
            <w:noWrap w:val="0"/>
            <w:vAlign w:val="center"/>
          </w:tcPr>
          <w:p w14:paraId="240D5F6B">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color w:val="auto"/>
              </w:rPr>
            </w:pPr>
            <w:r>
              <w:rPr>
                <w:color w:val="auto"/>
              </w:rPr>
              <w:t>压力</w:t>
            </w:r>
          </w:p>
        </w:tc>
        <w:tc>
          <w:tcPr>
            <w:tcW w:w="1715" w:type="pct"/>
            <w:noWrap w:val="0"/>
            <w:vAlign w:val="center"/>
          </w:tcPr>
          <w:p w14:paraId="54EDD63C">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color w:val="auto"/>
              </w:rPr>
            </w:pPr>
            <w:r>
              <w:rPr>
                <w:color w:val="auto"/>
              </w:rPr>
              <w:t>常压储存</w:t>
            </w:r>
          </w:p>
        </w:tc>
        <w:tc>
          <w:tcPr>
            <w:tcW w:w="1297" w:type="pct"/>
            <w:noWrap w:val="0"/>
            <w:vAlign w:val="center"/>
          </w:tcPr>
          <w:p w14:paraId="4687890A">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color w:val="auto"/>
              </w:rPr>
            </w:pPr>
            <w:r>
              <w:rPr>
                <w:color w:val="auto"/>
              </w:rPr>
              <w:t>0</w:t>
            </w:r>
          </w:p>
        </w:tc>
        <w:tc>
          <w:tcPr>
            <w:tcW w:w="416" w:type="pct"/>
            <w:noWrap w:val="0"/>
            <w:vAlign w:val="center"/>
          </w:tcPr>
          <w:p w14:paraId="7B7C1E7C">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color w:val="auto"/>
              </w:rPr>
            </w:pPr>
          </w:p>
        </w:tc>
      </w:tr>
      <w:tr w14:paraId="1E2A8C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35" w:type="pct"/>
            <w:noWrap w:val="0"/>
            <w:vAlign w:val="center"/>
          </w:tcPr>
          <w:p w14:paraId="0C13D781">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color w:val="auto"/>
              </w:rPr>
            </w:pPr>
            <w:r>
              <w:rPr>
                <w:color w:val="auto"/>
              </w:rPr>
              <w:t>5</w:t>
            </w:r>
          </w:p>
        </w:tc>
        <w:tc>
          <w:tcPr>
            <w:tcW w:w="1134" w:type="pct"/>
            <w:noWrap w:val="0"/>
            <w:vAlign w:val="center"/>
          </w:tcPr>
          <w:p w14:paraId="503CEC84">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color w:val="auto"/>
              </w:rPr>
            </w:pPr>
            <w:r>
              <w:rPr>
                <w:color w:val="auto"/>
              </w:rPr>
              <w:t>操作</w:t>
            </w:r>
          </w:p>
        </w:tc>
        <w:tc>
          <w:tcPr>
            <w:tcW w:w="1715" w:type="pct"/>
            <w:noWrap w:val="0"/>
            <w:vAlign w:val="center"/>
          </w:tcPr>
          <w:p w14:paraId="225460B1">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color w:val="auto"/>
              </w:rPr>
            </w:pPr>
            <w:r>
              <w:rPr>
                <w:color w:val="auto"/>
              </w:rPr>
              <w:t>有一定危险的操作</w:t>
            </w:r>
          </w:p>
        </w:tc>
        <w:tc>
          <w:tcPr>
            <w:tcW w:w="1297" w:type="pct"/>
            <w:noWrap w:val="0"/>
            <w:vAlign w:val="center"/>
          </w:tcPr>
          <w:p w14:paraId="7DC44853">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color w:val="auto"/>
              </w:rPr>
            </w:pPr>
            <w:r>
              <w:rPr>
                <w:rFonts w:hint="eastAsia"/>
                <w:color w:val="auto"/>
              </w:rPr>
              <w:t>2</w:t>
            </w:r>
          </w:p>
        </w:tc>
        <w:tc>
          <w:tcPr>
            <w:tcW w:w="416" w:type="pct"/>
            <w:noWrap w:val="0"/>
            <w:vAlign w:val="center"/>
          </w:tcPr>
          <w:p w14:paraId="36D122D9">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color w:val="auto"/>
              </w:rPr>
            </w:pPr>
          </w:p>
        </w:tc>
      </w:tr>
      <w:tr w14:paraId="4331D1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35" w:type="pct"/>
            <w:noWrap w:val="0"/>
            <w:vAlign w:val="center"/>
          </w:tcPr>
          <w:p w14:paraId="45101549">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color w:val="auto"/>
              </w:rPr>
            </w:pPr>
            <w:r>
              <w:rPr>
                <w:color w:val="auto"/>
              </w:rPr>
              <w:t>6</w:t>
            </w:r>
          </w:p>
        </w:tc>
        <w:tc>
          <w:tcPr>
            <w:tcW w:w="1134" w:type="pct"/>
            <w:noWrap w:val="0"/>
            <w:vAlign w:val="center"/>
          </w:tcPr>
          <w:p w14:paraId="448E3566">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color w:val="auto"/>
              </w:rPr>
            </w:pPr>
            <w:r>
              <w:rPr>
                <w:color w:val="auto"/>
              </w:rPr>
              <w:t>总计</w:t>
            </w:r>
          </w:p>
        </w:tc>
        <w:tc>
          <w:tcPr>
            <w:tcW w:w="1715" w:type="pct"/>
            <w:noWrap w:val="0"/>
            <w:vAlign w:val="center"/>
          </w:tcPr>
          <w:p w14:paraId="6C1EF404">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color w:val="auto"/>
              </w:rPr>
            </w:pPr>
          </w:p>
        </w:tc>
        <w:tc>
          <w:tcPr>
            <w:tcW w:w="1297" w:type="pct"/>
            <w:noWrap w:val="0"/>
            <w:vAlign w:val="center"/>
          </w:tcPr>
          <w:p w14:paraId="63F0BFD5">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color w:val="auto"/>
              </w:rPr>
            </w:pPr>
            <w:r>
              <w:rPr>
                <w:rFonts w:hint="eastAsia"/>
                <w:color w:val="auto"/>
              </w:rPr>
              <w:t>6</w:t>
            </w:r>
          </w:p>
        </w:tc>
        <w:tc>
          <w:tcPr>
            <w:tcW w:w="416" w:type="pct"/>
            <w:noWrap w:val="0"/>
            <w:vAlign w:val="center"/>
          </w:tcPr>
          <w:p w14:paraId="66E7E187">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color w:val="auto"/>
              </w:rPr>
            </w:pPr>
          </w:p>
        </w:tc>
      </w:tr>
      <w:tr w14:paraId="222FB8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35" w:type="pct"/>
            <w:noWrap w:val="0"/>
            <w:vAlign w:val="center"/>
          </w:tcPr>
          <w:p w14:paraId="044EAC9C">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color w:val="auto"/>
              </w:rPr>
            </w:pPr>
            <w:r>
              <w:rPr>
                <w:color w:val="auto"/>
              </w:rPr>
              <w:t>7</w:t>
            </w:r>
          </w:p>
        </w:tc>
        <w:tc>
          <w:tcPr>
            <w:tcW w:w="1134" w:type="pct"/>
            <w:noWrap w:val="0"/>
            <w:vAlign w:val="center"/>
          </w:tcPr>
          <w:p w14:paraId="6918FCE9">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color w:val="auto"/>
              </w:rPr>
            </w:pPr>
            <w:r>
              <w:rPr>
                <w:color w:val="auto"/>
              </w:rPr>
              <w:t>危险程度</w:t>
            </w:r>
          </w:p>
        </w:tc>
        <w:tc>
          <w:tcPr>
            <w:tcW w:w="1715" w:type="pct"/>
            <w:noWrap w:val="0"/>
            <w:vAlign w:val="center"/>
          </w:tcPr>
          <w:p w14:paraId="13CD5DA9">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color w:val="auto"/>
              </w:rPr>
            </w:pPr>
          </w:p>
        </w:tc>
        <w:tc>
          <w:tcPr>
            <w:tcW w:w="1297" w:type="pct"/>
            <w:noWrap w:val="0"/>
            <w:vAlign w:val="center"/>
          </w:tcPr>
          <w:p w14:paraId="5A735B76">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color w:val="auto"/>
              </w:rPr>
            </w:pPr>
            <w:r>
              <w:rPr>
                <w:rFonts w:hint="eastAsia"/>
                <w:color w:val="auto"/>
              </w:rPr>
              <w:t>低</w:t>
            </w:r>
            <w:r>
              <w:rPr>
                <w:color w:val="auto"/>
              </w:rPr>
              <w:t>度危险</w:t>
            </w:r>
          </w:p>
        </w:tc>
        <w:tc>
          <w:tcPr>
            <w:tcW w:w="416" w:type="pct"/>
            <w:noWrap w:val="0"/>
            <w:vAlign w:val="center"/>
          </w:tcPr>
          <w:p w14:paraId="3E6A67AF">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color w:val="auto"/>
              </w:rPr>
            </w:pPr>
          </w:p>
        </w:tc>
      </w:tr>
    </w:tbl>
    <w:p w14:paraId="31229F66">
      <w:pPr>
        <w:bidi w:val="0"/>
        <w:rPr>
          <w:rFonts w:hint="default"/>
          <w:lang w:val="en-US" w:eastAsia="zh-CN"/>
        </w:rPr>
      </w:pPr>
      <w:r>
        <w:rPr>
          <w:rFonts w:hint="default"/>
          <w:lang w:val="en-US" w:eastAsia="zh-CN"/>
        </w:rPr>
        <w:t>综上所述，装置区危险度综合取值为6分，为</w:t>
      </w:r>
      <w:r>
        <w:rPr>
          <w:rFonts w:hint="eastAsia" w:ascii="宋体" w:hAnsi="宋体" w:eastAsia="宋体" w:cs="宋体"/>
          <w:lang w:val="en-US" w:eastAsia="zh-CN"/>
        </w:rPr>
        <w:t>Ⅲ</w:t>
      </w:r>
      <w:r>
        <w:rPr>
          <w:rFonts w:hint="default"/>
          <w:lang w:val="en-US" w:eastAsia="zh-CN"/>
        </w:rPr>
        <w:t>级，属低度危险。</w:t>
      </w:r>
    </w:p>
    <w:p w14:paraId="71242D93">
      <w:pPr>
        <w:pStyle w:val="3"/>
        <w:bidi w:val="0"/>
        <w:rPr>
          <w:rFonts w:hint="default"/>
          <w:lang w:val="en-US" w:eastAsia="zh-CN"/>
        </w:rPr>
      </w:pPr>
      <w:bookmarkStart w:id="107" w:name="_Toc6436"/>
      <w:r>
        <w:rPr>
          <w:rFonts w:hint="default"/>
          <w:lang w:val="en-US" w:eastAsia="zh-CN"/>
        </w:rPr>
        <w:t>F3.4 公用工程及辅助配套设施单元安全检查表</w:t>
      </w:r>
      <w:bookmarkEnd w:id="107"/>
    </w:p>
    <w:p w14:paraId="106FDC00">
      <w:pPr>
        <w:rPr>
          <w:rFonts w:hint="default"/>
          <w:lang w:val="en-US" w:eastAsia="zh-CN"/>
        </w:rPr>
      </w:pPr>
      <w:r>
        <w:rPr>
          <w:rFonts w:hint="default"/>
          <w:lang w:val="en-US" w:eastAsia="zh-CN"/>
        </w:rPr>
        <w:t>对照《撬装式汽车加油站技术标准》（SH/T3134-2023）、《汽车加油加气加氢站技术标准》</w:t>
      </w:r>
      <w:r>
        <w:rPr>
          <w:rFonts w:hint="eastAsia"/>
          <w:lang w:val="en-US" w:eastAsia="zh-CN"/>
        </w:rPr>
        <w:t>（</w:t>
      </w:r>
      <w:r>
        <w:rPr>
          <w:rFonts w:hint="default"/>
          <w:lang w:val="en-US" w:eastAsia="zh-CN"/>
        </w:rPr>
        <w:t>GB50156-2021</w:t>
      </w:r>
      <w:r>
        <w:rPr>
          <w:rFonts w:hint="eastAsia"/>
          <w:lang w:val="en-US" w:eastAsia="zh-CN"/>
        </w:rPr>
        <w:t>）</w:t>
      </w:r>
      <w:r>
        <w:rPr>
          <w:rFonts w:hint="default"/>
          <w:lang w:val="en-US" w:eastAsia="zh-CN"/>
        </w:rPr>
        <w:t>等制作检查表，对公用工程及辅助配套设施单元进行安全检查，检查情况如下：</w:t>
      </w:r>
    </w:p>
    <w:p w14:paraId="02FD82F6">
      <w:pPr>
        <w:pStyle w:val="4"/>
        <w:bidi w:val="0"/>
        <w:rPr>
          <w:rFonts w:hint="default"/>
          <w:lang w:val="en-US" w:eastAsia="zh-CN"/>
        </w:rPr>
      </w:pPr>
      <w:bookmarkStart w:id="108" w:name="_Toc3967"/>
      <w:r>
        <w:rPr>
          <w:rFonts w:hint="default"/>
          <w:lang w:val="en-US" w:eastAsia="zh-CN"/>
        </w:rPr>
        <w:t>F3.4.1</w:t>
      </w:r>
      <w:r>
        <w:rPr>
          <w:rFonts w:hint="eastAsia"/>
          <w:lang w:val="en-US" w:eastAsia="zh-CN"/>
        </w:rPr>
        <w:t xml:space="preserve"> </w:t>
      </w:r>
      <w:r>
        <w:rPr>
          <w:rFonts w:hint="default"/>
          <w:lang w:val="en-US" w:eastAsia="zh-CN"/>
        </w:rPr>
        <w:t>加油站消防设施及给排水符合性评价</w:t>
      </w:r>
      <w:bookmarkEnd w:id="108"/>
    </w:p>
    <w:p w14:paraId="6816F35C">
      <w:pPr>
        <w:ind w:left="0" w:leftChars="0" w:firstLine="0" w:firstLineChars="0"/>
        <w:jc w:val="center"/>
        <w:rPr>
          <w:rFonts w:hint="default"/>
          <w:lang w:val="en-US" w:eastAsia="zh-CN"/>
        </w:rPr>
      </w:pPr>
      <w:r>
        <w:rPr>
          <w:rFonts w:hint="default"/>
          <w:lang w:val="en-US" w:eastAsia="zh-CN"/>
        </w:rPr>
        <w:t>表F3.4-1 加油站消防设施及给排水符合性检查表</w:t>
      </w:r>
    </w:p>
    <w:tbl>
      <w:tblPr>
        <w:tblStyle w:val="20"/>
        <w:tblW w:w="91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35"/>
        <w:gridCol w:w="4731"/>
        <w:gridCol w:w="1638"/>
        <w:gridCol w:w="1601"/>
        <w:gridCol w:w="716"/>
      </w:tblGrid>
      <w:tr w14:paraId="78A77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435" w:type="dxa"/>
            <w:noWrap w:val="0"/>
            <w:vAlign w:val="center"/>
          </w:tcPr>
          <w:p w14:paraId="4057EE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color w:val="auto"/>
                <w:kern w:val="18"/>
                <w:sz w:val="21"/>
                <w:szCs w:val="21"/>
                <w:highlight w:val="none"/>
                <w:lang w:val="en-US" w:eastAsia="zh-CN" w:bidi="ar-SA"/>
              </w:rPr>
            </w:pPr>
            <w:r>
              <w:rPr>
                <w:rFonts w:ascii="Times New Roman" w:hAnsi="Times New Roman" w:eastAsia="宋体" w:cs="Times New Roman"/>
                <w:b/>
                <w:bCs/>
                <w:color w:val="auto"/>
                <w:kern w:val="18"/>
                <w:sz w:val="21"/>
                <w:szCs w:val="21"/>
                <w:highlight w:val="none"/>
                <w:lang w:val="en-US" w:eastAsia="zh-CN" w:bidi="ar-SA"/>
              </w:rPr>
              <w:t>序号</w:t>
            </w:r>
          </w:p>
        </w:tc>
        <w:tc>
          <w:tcPr>
            <w:tcW w:w="4731" w:type="dxa"/>
            <w:noWrap w:val="0"/>
            <w:vAlign w:val="center"/>
          </w:tcPr>
          <w:p w14:paraId="7548907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color w:val="auto"/>
                <w:kern w:val="18"/>
                <w:sz w:val="21"/>
                <w:szCs w:val="21"/>
                <w:highlight w:val="none"/>
                <w:lang w:val="en-US" w:eastAsia="zh-CN" w:bidi="ar-SA"/>
              </w:rPr>
            </w:pPr>
            <w:r>
              <w:rPr>
                <w:rFonts w:ascii="Times New Roman" w:hAnsi="Times New Roman" w:eastAsia="宋体" w:cs="Times New Roman"/>
                <w:b/>
                <w:bCs/>
                <w:color w:val="auto"/>
                <w:kern w:val="18"/>
                <w:sz w:val="21"/>
                <w:szCs w:val="21"/>
                <w:highlight w:val="none"/>
                <w:lang w:val="en-US" w:eastAsia="zh-CN" w:bidi="ar-SA"/>
              </w:rPr>
              <w:t>检查内容</w:t>
            </w:r>
          </w:p>
        </w:tc>
        <w:tc>
          <w:tcPr>
            <w:tcW w:w="1638" w:type="dxa"/>
            <w:noWrap w:val="0"/>
            <w:vAlign w:val="center"/>
          </w:tcPr>
          <w:p w14:paraId="57A40B6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color w:val="auto"/>
                <w:kern w:val="18"/>
                <w:sz w:val="21"/>
                <w:szCs w:val="21"/>
                <w:highlight w:val="none"/>
                <w:lang w:val="en-US" w:eastAsia="zh-CN" w:bidi="ar-SA"/>
              </w:rPr>
            </w:pPr>
            <w:r>
              <w:rPr>
                <w:rFonts w:ascii="Times New Roman" w:hAnsi="Times New Roman" w:eastAsia="宋体" w:cs="Times New Roman"/>
                <w:b/>
                <w:bCs/>
                <w:color w:val="auto"/>
                <w:kern w:val="18"/>
                <w:sz w:val="21"/>
                <w:szCs w:val="21"/>
                <w:highlight w:val="none"/>
                <w:lang w:val="en-US" w:eastAsia="zh-CN" w:bidi="ar-SA"/>
              </w:rPr>
              <w:t>标准条款</w:t>
            </w:r>
          </w:p>
        </w:tc>
        <w:tc>
          <w:tcPr>
            <w:tcW w:w="1601" w:type="dxa"/>
            <w:noWrap w:val="0"/>
            <w:vAlign w:val="center"/>
          </w:tcPr>
          <w:p w14:paraId="44C2EAB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color w:val="auto"/>
                <w:kern w:val="18"/>
                <w:sz w:val="21"/>
                <w:szCs w:val="21"/>
                <w:highlight w:val="none"/>
                <w:lang w:val="en-US" w:eastAsia="zh-CN" w:bidi="ar-SA"/>
              </w:rPr>
            </w:pPr>
            <w:r>
              <w:rPr>
                <w:rFonts w:ascii="Times New Roman" w:hAnsi="Times New Roman" w:eastAsia="宋体" w:cs="Times New Roman"/>
                <w:b/>
                <w:bCs/>
                <w:color w:val="auto"/>
                <w:kern w:val="18"/>
                <w:sz w:val="21"/>
                <w:szCs w:val="21"/>
                <w:highlight w:val="none"/>
                <w:lang w:val="en-US" w:eastAsia="zh-CN" w:bidi="ar-SA"/>
              </w:rPr>
              <w:t>检查情况</w:t>
            </w:r>
          </w:p>
        </w:tc>
        <w:tc>
          <w:tcPr>
            <w:tcW w:w="716" w:type="dxa"/>
            <w:noWrap w:val="0"/>
            <w:vAlign w:val="center"/>
          </w:tcPr>
          <w:p w14:paraId="3C6149E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color w:val="auto"/>
                <w:kern w:val="18"/>
                <w:sz w:val="21"/>
                <w:szCs w:val="21"/>
                <w:highlight w:val="none"/>
                <w:lang w:val="en-US" w:eastAsia="zh-CN" w:bidi="ar-SA"/>
              </w:rPr>
            </w:pPr>
            <w:r>
              <w:rPr>
                <w:rFonts w:ascii="Times New Roman" w:hAnsi="Times New Roman" w:eastAsia="宋体" w:cs="Times New Roman"/>
                <w:b/>
                <w:bCs/>
                <w:color w:val="auto"/>
                <w:kern w:val="18"/>
                <w:sz w:val="21"/>
                <w:szCs w:val="21"/>
                <w:highlight w:val="none"/>
                <w:lang w:val="en-US" w:eastAsia="zh-CN" w:bidi="ar-SA"/>
              </w:rPr>
              <w:t>评价</w:t>
            </w:r>
          </w:p>
          <w:p w14:paraId="7ADAD1B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color w:val="auto"/>
                <w:kern w:val="18"/>
                <w:sz w:val="21"/>
                <w:szCs w:val="21"/>
                <w:highlight w:val="none"/>
                <w:lang w:val="en-US" w:eastAsia="zh-CN" w:bidi="ar-SA"/>
              </w:rPr>
            </w:pPr>
            <w:r>
              <w:rPr>
                <w:rFonts w:ascii="Times New Roman" w:hAnsi="Times New Roman" w:eastAsia="宋体" w:cs="Times New Roman"/>
                <w:b/>
                <w:bCs/>
                <w:color w:val="auto"/>
                <w:kern w:val="18"/>
                <w:sz w:val="21"/>
                <w:szCs w:val="21"/>
                <w:highlight w:val="none"/>
                <w:lang w:val="en-US" w:eastAsia="zh-CN" w:bidi="ar-SA"/>
              </w:rPr>
              <w:t>结果</w:t>
            </w:r>
          </w:p>
        </w:tc>
      </w:tr>
      <w:tr w14:paraId="3E0F1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 w:hRule="atLeast"/>
        </w:trPr>
        <w:tc>
          <w:tcPr>
            <w:tcW w:w="9121" w:type="dxa"/>
            <w:gridSpan w:val="5"/>
            <w:noWrap w:val="0"/>
            <w:vAlign w:val="center"/>
          </w:tcPr>
          <w:p w14:paraId="718BC8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灭火器配置</w:t>
            </w:r>
          </w:p>
        </w:tc>
      </w:tr>
      <w:tr w14:paraId="6860C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 w:hRule="atLeast"/>
        </w:trPr>
        <w:tc>
          <w:tcPr>
            <w:tcW w:w="435" w:type="dxa"/>
            <w:noWrap w:val="0"/>
            <w:vAlign w:val="center"/>
          </w:tcPr>
          <w:p w14:paraId="31D4811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1</w:t>
            </w:r>
          </w:p>
        </w:tc>
        <w:tc>
          <w:tcPr>
            <w:tcW w:w="4731" w:type="dxa"/>
            <w:noWrap w:val="0"/>
            <w:vAlign w:val="center"/>
          </w:tcPr>
          <w:p w14:paraId="7C9E1A2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灭火器的设置应符合下列规定:</w:t>
            </w:r>
          </w:p>
          <w:p w14:paraId="0644E7F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a</w:t>
            </w:r>
            <w:r>
              <w:rPr>
                <w:rFonts w:hint="eastAsia" w:cs="Times New Roman"/>
                <w:color w:val="auto"/>
                <w:kern w:val="18"/>
                <w:sz w:val="21"/>
                <w:szCs w:val="21"/>
                <w:highlight w:val="none"/>
                <w:lang w:val="en-US" w:eastAsia="zh-CN" w:bidi="ar-SA"/>
              </w:rPr>
              <w:t>）</w:t>
            </w:r>
            <w:r>
              <w:rPr>
                <w:rFonts w:hint="eastAsia" w:ascii="Times New Roman" w:hAnsi="Times New Roman" w:eastAsia="宋体" w:cs="Times New Roman"/>
                <w:color w:val="auto"/>
                <w:kern w:val="18"/>
                <w:sz w:val="21"/>
                <w:szCs w:val="21"/>
                <w:highlight w:val="none"/>
                <w:lang w:val="en-US" w:eastAsia="zh-CN" w:bidi="ar-SA"/>
              </w:rPr>
              <w:t>每2台加油机应配置不少于2具5kg手提式干粉灭火器，或1具5kg手提式干粉灭火器和1具6L泡沫灭火器。加油机不足2台应按2台配置;</w:t>
            </w:r>
          </w:p>
          <w:p w14:paraId="78F9549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b）推车式干粉灭火器不应少于1台，干粉灭火剂的重量不应小于35kg;</w:t>
            </w:r>
          </w:p>
          <w:p w14:paraId="4C6C9DB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c</w:t>
            </w:r>
            <w:r>
              <w:rPr>
                <w:rFonts w:hint="eastAsia" w:ascii="Times New Roman" w:hAnsi="Times New Roman" w:eastAsia="宋体" w:cs="Times New Roman"/>
                <w:color w:val="auto"/>
                <w:kern w:val="18"/>
                <w:sz w:val="21"/>
                <w:szCs w:val="21"/>
                <w:highlight w:val="none"/>
                <w:lang w:val="en-US" w:eastAsia="zh-CN" w:bidi="ar-SA"/>
              </w:rPr>
              <w:t>）灭火毯不应少于2块、消防沙不应少于2m</w:t>
            </w:r>
            <w:r>
              <w:rPr>
                <w:rFonts w:hint="eastAsia" w:ascii="Times New Roman" w:hAnsi="Times New Roman" w:eastAsia="宋体" w:cs="Times New Roman"/>
                <w:color w:val="auto"/>
                <w:kern w:val="18"/>
                <w:sz w:val="21"/>
                <w:szCs w:val="21"/>
                <w:highlight w:val="none"/>
                <w:vertAlign w:val="superscript"/>
                <w:lang w:val="en-US" w:eastAsia="zh-CN" w:bidi="ar-SA"/>
              </w:rPr>
              <w:t>3</w:t>
            </w:r>
            <w:r>
              <w:rPr>
                <w:rFonts w:hint="eastAsia" w:ascii="Times New Roman" w:hAnsi="Times New Roman" w:eastAsia="宋体" w:cs="Times New Roman"/>
                <w:color w:val="auto"/>
                <w:kern w:val="18"/>
                <w:sz w:val="21"/>
                <w:szCs w:val="21"/>
                <w:highlight w:val="none"/>
                <w:lang w:val="en-US" w:eastAsia="zh-CN" w:bidi="ar-SA"/>
              </w:rPr>
              <w:t>。</w:t>
            </w:r>
          </w:p>
          <w:p w14:paraId="5AB66F7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left"/>
              <w:textAlignment w:val="auto"/>
              <w:rPr>
                <w:rFonts w:hint="default" w:ascii="Times New Roman" w:hAnsi="Times New Roman" w:eastAsia="宋体"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d</w:t>
            </w:r>
            <w:r>
              <w:rPr>
                <w:rFonts w:hint="eastAsia" w:ascii="Times New Roman" w:hAnsi="Times New Roman" w:eastAsia="宋体" w:cs="Times New Roman"/>
                <w:color w:val="auto"/>
                <w:kern w:val="18"/>
                <w:sz w:val="21"/>
                <w:szCs w:val="21"/>
                <w:highlight w:val="none"/>
                <w:lang w:val="en-US" w:eastAsia="zh-CN" w:bidi="ar-SA"/>
              </w:rPr>
              <w:t>）其余建筑的灭火器配置，应符合GB50140的有关规定。</w:t>
            </w:r>
          </w:p>
        </w:tc>
        <w:tc>
          <w:tcPr>
            <w:tcW w:w="1638" w:type="dxa"/>
            <w:noWrap w:val="0"/>
            <w:vAlign w:val="center"/>
          </w:tcPr>
          <w:p w14:paraId="1966D01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橇装式汽车加油站技术标准</w:t>
            </w:r>
          </w:p>
          <w:p w14:paraId="494128F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SH/T3134-2023</w:t>
            </w:r>
          </w:p>
          <w:p w14:paraId="53246BD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w:t>
            </w:r>
            <w:r>
              <w:rPr>
                <w:rFonts w:ascii="Times New Roman" w:hAnsi="Times New Roman" w:eastAsia="宋体" w:cs="Times New Roman"/>
                <w:color w:val="auto"/>
                <w:kern w:val="18"/>
                <w:sz w:val="21"/>
                <w:szCs w:val="21"/>
                <w:highlight w:val="none"/>
                <w:lang w:val="en-US" w:eastAsia="zh-CN" w:bidi="ar-SA"/>
              </w:rPr>
              <w:t>5.</w:t>
            </w:r>
            <w:r>
              <w:rPr>
                <w:rFonts w:hint="eastAsia" w:cs="Times New Roman"/>
                <w:color w:val="auto"/>
                <w:kern w:val="18"/>
                <w:sz w:val="21"/>
                <w:szCs w:val="21"/>
                <w:highlight w:val="none"/>
                <w:lang w:val="en-US" w:eastAsia="zh-CN" w:bidi="ar-SA"/>
              </w:rPr>
              <w:t>2</w:t>
            </w:r>
            <w:r>
              <w:rPr>
                <w:rFonts w:ascii="Times New Roman" w:hAnsi="Times New Roman" w:eastAsia="宋体" w:cs="Times New Roman"/>
                <w:color w:val="auto"/>
                <w:kern w:val="18"/>
                <w:sz w:val="21"/>
                <w:szCs w:val="21"/>
                <w:highlight w:val="none"/>
                <w:lang w:val="en-US" w:eastAsia="zh-CN" w:bidi="ar-SA"/>
              </w:rPr>
              <w:t>.</w:t>
            </w:r>
            <w:r>
              <w:rPr>
                <w:rFonts w:hint="eastAsia" w:cs="Times New Roman"/>
                <w:color w:val="auto"/>
                <w:kern w:val="18"/>
                <w:sz w:val="21"/>
                <w:szCs w:val="21"/>
                <w:highlight w:val="none"/>
                <w:lang w:val="en-US" w:eastAsia="zh-CN" w:bidi="ar-SA"/>
              </w:rPr>
              <w:t>7</w:t>
            </w:r>
            <w:r>
              <w:rPr>
                <w:rFonts w:hint="eastAsia" w:ascii="Times New Roman" w:hAnsi="Times New Roman" w:eastAsia="宋体" w:cs="Times New Roman"/>
                <w:color w:val="auto"/>
                <w:kern w:val="18"/>
                <w:sz w:val="21"/>
                <w:szCs w:val="21"/>
                <w:highlight w:val="none"/>
                <w:lang w:val="en-US" w:eastAsia="zh-CN" w:bidi="ar-SA"/>
              </w:rPr>
              <w:t>条</w:t>
            </w:r>
          </w:p>
        </w:tc>
        <w:tc>
          <w:tcPr>
            <w:tcW w:w="1601" w:type="dxa"/>
            <w:noWrap w:val="0"/>
            <w:vAlign w:val="center"/>
          </w:tcPr>
          <w:p w14:paraId="431883B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消防设施设置不符合要求</w:t>
            </w:r>
          </w:p>
          <w:p w14:paraId="24A1014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18"/>
                <w:sz w:val="21"/>
                <w:szCs w:val="21"/>
                <w:highlight w:val="none"/>
                <w:lang w:val="en-US" w:eastAsia="zh-CN" w:bidi="ar-SA"/>
              </w:rPr>
            </w:pPr>
          </w:p>
        </w:tc>
        <w:tc>
          <w:tcPr>
            <w:tcW w:w="716" w:type="dxa"/>
            <w:noWrap w:val="0"/>
            <w:vAlign w:val="center"/>
          </w:tcPr>
          <w:p w14:paraId="1E610B6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val="0"/>
                <w:bCs w:val="0"/>
                <w:color w:val="auto"/>
                <w:kern w:val="18"/>
                <w:sz w:val="21"/>
                <w:szCs w:val="21"/>
                <w:highlight w:val="none"/>
                <w:lang w:val="en-US" w:eastAsia="zh-CN" w:bidi="ar-SA"/>
              </w:rPr>
            </w:pPr>
            <w:r>
              <w:rPr>
                <w:rFonts w:hint="eastAsia" w:cs="Times New Roman"/>
                <w:b w:val="0"/>
                <w:bCs w:val="0"/>
                <w:color w:val="auto"/>
                <w:kern w:val="18"/>
                <w:sz w:val="21"/>
                <w:szCs w:val="21"/>
                <w:highlight w:val="none"/>
                <w:lang w:val="en-US" w:eastAsia="zh-CN" w:bidi="ar-SA"/>
              </w:rPr>
              <w:t>不</w:t>
            </w:r>
            <w:r>
              <w:rPr>
                <w:rFonts w:ascii="Times New Roman" w:hAnsi="Times New Roman" w:eastAsia="宋体" w:cs="Times New Roman"/>
                <w:b w:val="0"/>
                <w:bCs w:val="0"/>
                <w:color w:val="auto"/>
                <w:kern w:val="18"/>
                <w:sz w:val="21"/>
                <w:szCs w:val="21"/>
                <w:highlight w:val="none"/>
                <w:lang w:val="en-US" w:eastAsia="zh-CN" w:bidi="ar-SA"/>
              </w:rPr>
              <w:t>合格</w:t>
            </w:r>
          </w:p>
        </w:tc>
      </w:tr>
      <w:tr w14:paraId="750BA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9121" w:type="dxa"/>
            <w:gridSpan w:val="5"/>
            <w:noWrap w:val="0"/>
            <w:vAlign w:val="center"/>
          </w:tcPr>
          <w:p w14:paraId="0F2C52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给排水系统</w:t>
            </w:r>
          </w:p>
        </w:tc>
      </w:tr>
      <w:tr w14:paraId="73266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8" w:hRule="atLeast"/>
        </w:trPr>
        <w:tc>
          <w:tcPr>
            <w:tcW w:w="435" w:type="dxa"/>
            <w:noWrap w:val="0"/>
            <w:vAlign w:val="center"/>
          </w:tcPr>
          <w:p w14:paraId="6E8132F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1</w:t>
            </w:r>
          </w:p>
        </w:tc>
        <w:tc>
          <w:tcPr>
            <w:tcW w:w="4731" w:type="dxa"/>
            <w:noWrap w:val="0"/>
            <w:vAlign w:val="center"/>
          </w:tcPr>
          <w:p w14:paraId="6A548625">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站内地面雨水可散流排出站外。当雨水由明沟排到站外时</w:t>
            </w:r>
            <w:r>
              <w:rPr>
                <w:rFonts w:ascii="Times New Roman" w:hAnsi="Times New Roman" w:eastAsia="宋体" w:cs="Times New Roman"/>
                <w:color w:val="auto"/>
              </w:rPr>
              <w:t>，应在围墙内设置水封装置。</w:t>
            </w:r>
          </w:p>
        </w:tc>
        <w:tc>
          <w:tcPr>
            <w:tcW w:w="1638" w:type="dxa"/>
            <w:noWrap w:val="0"/>
            <w:vAlign w:val="center"/>
          </w:tcPr>
          <w:p w14:paraId="13D4337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default" w:ascii="Times New Roman" w:hAnsi="Times New Roman" w:eastAsia="宋体" w:cs="Times New Roman"/>
                <w:color w:val="auto"/>
                <w:kern w:val="18"/>
                <w:sz w:val="21"/>
                <w:szCs w:val="21"/>
                <w:highlight w:val="none"/>
                <w:lang w:val="en-US" w:eastAsia="zh-CN" w:bidi="ar-SA"/>
              </w:rPr>
              <w:t>汽车加油加气加氢站技术</w:t>
            </w:r>
            <w:r>
              <w:rPr>
                <w:rFonts w:hint="eastAsia" w:ascii="Times New Roman" w:hAnsi="Times New Roman" w:eastAsia="宋体" w:cs="Times New Roman"/>
                <w:color w:val="auto"/>
                <w:kern w:val="18"/>
                <w:sz w:val="21"/>
                <w:szCs w:val="21"/>
                <w:highlight w:val="none"/>
                <w:lang w:val="en-US" w:eastAsia="zh-CN" w:bidi="ar-SA"/>
              </w:rPr>
              <w:t>标准</w:t>
            </w:r>
            <w:r>
              <w:rPr>
                <w:rFonts w:hint="default" w:ascii="Times New Roman" w:hAnsi="Times New Roman" w:eastAsia="宋体" w:cs="Times New Roman"/>
                <w:color w:val="auto"/>
                <w:kern w:val="18"/>
                <w:sz w:val="21"/>
                <w:szCs w:val="21"/>
                <w:highlight w:val="none"/>
                <w:lang w:val="en-US" w:eastAsia="zh-CN" w:bidi="ar-SA"/>
              </w:rPr>
              <w:t>GB50156-2021</w:t>
            </w:r>
          </w:p>
          <w:p w14:paraId="5093E55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w:t>
            </w:r>
            <w:r>
              <w:rPr>
                <w:rFonts w:hint="eastAsia" w:cs="Times New Roman"/>
                <w:color w:val="auto"/>
                <w:kern w:val="18"/>
                <w:sz w:val="21"/>
                <w:szCs w:val="21"/>
                <w:highlight w:val="none"/>
                <w:lang w:val="en-US" w:eastAsia="zh-CN" w:bidi="ar-SA"/>
              </w:rPr>
              <w:t>12</w:t>
            </w:r>
            <w:r>
              <w:rPr>
                <w:rFonts w:ascii="Times New Roman" w:hAnsi="Times New Roman" w:eastAsia="宋体" w:cs="Times New Roman"/>
                <w:color w:val="auto"/>
                <w:kern w:val="18"/>
                <w:sz w:val="21"/>
                <w:szCs w:val="21"/>
                <w:highlight w:val="none"/>
                <w:lang w:val="en-US" w:eastAsia="zh-CN" w:bidi="ar-SA"/>
              </w:rPr>
              <w:t>.</w:t>
            </w:r>
            <w:r>
              <w:rPr>
                <w:rFonts w:hint="eastAsia" w:cs="Times New Roman"/>
                <w:color w:val="auto"/>
                <w:kern w:val="18"/>
                <w:sz w:val="21"/>
                <w:szCs w:val="21"/>
                <w:highlight w:val="none"/>
                <w:lang w:val="en-US" w:eastAsia="zh-CN" w:bidi="ar-SA"/>
              </w:rPr>
              <w:t>3</w:t>
            </w:r>
            <w:r>
              <w:rPr>
                <w:rFonts w:ascii="Times New Roman" w:hAnsi="Times New Roman" w:eastAsia="宋体" w:cs="Times New Roman"/>
                <w:color w:val="auto"/>
                <w:kern w:val="18"/>
                <w:sz w:val="21"/>
                <w:szCs w:val="21"/>
                <w:highlight w:val="none"/>
                <w:lang w:val="en-US" w:eastAsia="zh-CN" w:bidi="ar-SA"/>
              </w:rPr>
              <w:t>.</w:t>
            </w:r>
            <w:r>
              <w:rPr>
                <w:rFonts w:hint="eastAsia" w:cs="Times New Roman"/>
                <w:color w:val="auto"/>
                <w:kern w:val="18"/>
                <w:sz w:val="21"/>
                <w:szCs w:val="21"/>
                <w:highlight w:val="none"/>
                <w:lang w:val="en-US" w:eastAsia="zh-CN" w:bidi="ar-SA"/>
              </w:rPr>
              <w:t>2</w:t>
            </w:r>
            <w:r>
              <w:rPr>
                <w:rFonts w:hint="eastAsia" w:ascii="Times New Roman" w:hAnsi="Times New Roman" w:eastAsia="宋体" w:cs="Times New Roman"/>
                <w:color w:val="auto"/>
                <w:kern w:val="18"/>
                <w:sz w:val="21"/>
                <w:szCs w:val="21"/>
                <w:highlight w:val="none"/>
                <w:lang w:val="en-US" w:eastAsia="zh-CN" w:bidi="ar-SA"/>
              </w:rPr>
              <w:t>条</w:t>
            </w:r>
            <w:r>
              <w:rPr>
                <w:rFonts w:hint="eastAsia" w:cs="Times New Roman"/>
                <w:color w:val="auto"/>
                <w:kern w:val="18"/>
                <w:sz w:val="21"/>
                <w:szCs w:val="21"/>
                <w:highlight w:val="none"/>
                <w:lang w:val="en-US" w:eastAsia="zh-CN" w:bidi="ar-SA"/>
              </w:rPr>
              <w:t>（1）</w:t>
            </w:r>
          </w:p>
        </w:tc>
        <w:tc>
          <w:tcPr>
            <w:tcW w:w="1601" w:type="dxa"/>
            <w:noWrap w:val="0"/>
            <w:vAlign w:val="center"/>
          </w:tcPr>
          <w:p w14:paraId="5A498DE2">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color w:val="auto"/>
              </w:rPr>
              <w:t>站内雨水可散流到站外</w:t>
            </w:r>
          </w:p>
        </w:tc>
        <w:tc>
          <w:tcPr>
            <w:tcW w:w="716" w:type="dxa"/>
            <w:noWrap w:val="0"/>
            <w:vAlign w:val="center"/>
          </w:tcPr>
          <w:p w14:paraId="02688DD5">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color w:val="auto"/>
              </w:rPr>
              <w:t>合格</w:t>
            </w:r>
          </w:p>
        </w:tc>
      </w:tr>
      <w:tr w14:paraId="752FA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5" w:hRule="atLeast"/>
        </w:trPr>
        <w:tc>
          <w:tcPr>
            <w:tcW w:w="435" w:type="dxa"/>
            <w:noWrap w:val="0"/>
            <w:vAlign w:val="center"/>
          </w:tcPr>
          <w:p w14:paraId="42F13C1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2</w:t>
            </w:r>
          </w:p>
        </w:tc>
        <w:tc>
          <w:tcPr>
            <w:tcW w:w="4731" w:type="dxa"/>
            <w:noWrap w:val="0"/>
            <w:vAlign w:val="center"/>
          </w:tcPr>
          <w:p w14:paraId="51716827">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加油站排出建筑物或围墙的污水，在建筑物墙外或围墙内应分别设水封井，水封井的水封高度不应小于0.25m；水封井应设沉泥段，沉泥段高度不应小于0.25m。</w:t>
            </w:r>
          </w:p>
        </w:tc>
        <w:tc>
          <w:tcPr>
            <w:tcW w:w="1638" w:type="dxa"/>
            <w:noWrap w:val="0"/>
            <w:vAlign w:val="center"/>
          </w:tcPr>
          <w:p w14:paraId="608790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23E889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第12.3.2条（</w:t>
            </w:r>
            <w:r>
              <w:rPr>
                <w:rFonts w:hint="eastAsia" w:cs="Times New Roman"/>
                <w:color w:val="auto"/>
                <w:kern w:val="18"/>
                <w:sz w:val="21"/>
                <w:szCs w:val="21"/>
                <w:highlight w:val="none"/>
                <w:lang w:val="en-US" w:eastAsia="zh-CN" w:bidi="ar-SA"/>
              </w:rPr>
              <w:t>2</w:t>
            </w:r>
            <w:r>
              <w:rPr>
                <w:rFonts w:hint="eastAsia" w:ascii="Times New Roman" w:hAnsi="Times New Roman" w:eastAsia="宋体" w:cs="Times New Roman"/>
                <w:color w:val="auto"/>
                <w:kern w:val="18"/>
                <w:sz w:val="21"/>
                <w:szCs w:val="21"/>
                <w:highlight w:val="none"/>
                <w:lang w:val="en-US" w:eastAsia="zh-CN" w:bidi="ar-SA"/>
              </w:rPr>
              <w:t>）</w:t>
            </w:r>
          </w:p>
        </w:tc>
        <w:tc>
          <w:tcPr>
            <w:tcW w:w="1601" w:type="dxa"/>
            <w:noWrap w:val="0"/>
            <w:vAlign w:val="center"/>
          </w:tcPr>
          <w:p w14:paraId="4B9A5CA0">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rFonts w:hint="eastAsia"/>
                <w:color w:val="auto"/>
                <w:lang w:val="en-US" w:eastAsia="zh-CN"/>
              </w:rPr>
              <w:t>该项目不产生污水</w:t>
            </w:r>
          </w:p>
        </w:tc>
        <w:tc>
          <w:tcPr>
            <w:tcW w:w="716" w:type="dxa"/>
            <w:noWrap w:val="0"/>
            <w:vAlign w:val="center"/>
          </w:tcPr>
          <w:p w14:paraId="43CC7DE2">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color w:val="auto"/>
              </w:rPr>
              <w:t>合格</w:t>
            </w:r>
          </w:p>
        </w:tc>
      </w:tr>
      <w:tr w14:paraId="612E2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435" w:type="dxa"/>
            <w:noWrap w:val="0"/>
            <w:vAlign w:val="center"/>
          </w:tcPr>
          <w:p w14:paraId="7686FA6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3</w:t>
            </w:r>
          </w:p>
        </w:tc>
        <w:tc>
          <w:tcPr>
            <w:tcW w:w="4731" w:type="dxa"/>
            <w:noWrap w:val="0"/>
            <w:vAlign w:val="center"/>
          </w:tcPr>
          <w:p w14:paraId="3CACC60D">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清洗油罐的污水应集中收集处理，不应直接进入排水管道。</w:t>
            </w:r>
          </w:p>
        </w:tc>
        <w:tc>
          <w:tcPr>
            <w:tcW w:w="1638" w:type="dxa"/>
            <w:noWrap w:val="0"/>
            <w:vAlign w:val="center"/>
          </w:tcPr>
          <w:p w14:paraId="38E5CC1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219DE9A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第12.3.2条（</w:t>
            </w:r>
            <w:r>
              <w:rPr>
                <w:rFonts w:hint="eastAsia" w:cs="Times New Roman"/>
                <w:color w:val="auto"/>
                <w:kern w:val="18"/>
                <w:sz w:val="21"/>
                <w:szCs w:val="21"/>
                <w:highlight w:val="none"/>
                <w:lang w:val="en-US" w:eastAsia="zh-CN" w:bidi="ar-SA"/>
              </w:rPr>
              <w:t>3</w:t>
            </w:r>
            <w:r>
              <w:rPr>
                <w:rFonts w:hint="eastAsia" w:ascii="Times New Roman" w:hAnsi="Times New Roman" w:eastAsia="宋体" w:cs="Times New Roman"/>
                <w:color w:val="auto"/>
                <w:kern w:val="18"/>
                <w:sz w:val="21"/>
                <w:szCs w:val="21"/>
                <w:highlight w:val="none"/>
                <w:lang w:val="en-US" w:eastAsia="zh-CN" w:bidi="ar-SA"/>
              </w:rPr>
              <w:t>）</w:t>
            </w:r>
          </w:p>
        </w:tc>
        <w:tc>
          <w:tcPr>
            <w:tcW w:w="1601" w:type="dxa"/>
            <w:noWrap w:val="0"/>
            <w:vAlign w:val="center"/>
          </w:tcPr>
          <w:p w14:paraId="10C34361">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color w:val="auto"/>
              </w:rPr>
              <w:t>集中处理</w:t>
            </w:r>
          </w:p>
        </w:tc>
        <w:tc>
          <w:tcPr>
            <w:tcW w:w="716" w:type="dxa"/>
            <w:noWrap w:val="0"/>
            <w:vAlign w:val="center"/>
          </w:tcPr>
          <w:p w14:paraId="571861D1">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color w:val="auto"/>
              </w:rPr>
              <w:t>合格</w:t>
            </w:r>
          </w:p>
        </w:tc>
      </w:tr>
      <w:tr w14:paraId="2324E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435" w:type="dxa"/>
            <w:noWrap w:val="0"/>
            <w:vAlign w:val="center"/>
          </w:tcPr>
          <w:p w14:paraId="153C561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4</w:t>
            </w:r>
          </w:p>
        </w:tc>
        <w:tc>
          <w:tcPr>
            <w:tcW w:w="4731" w:type="dxa"/>
            <w:noWrap w:val="0"/>
            <w:vAlign w:val="center"/>
          </w:tcPr>
          <w:p w14:paraId="4383E4D9">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排出站外的污水应符合国家现行有关污水排放标准的规定。</w:t>
            </w:r>
          </w:p>
        </w:tc>
        <w:tc>
          <w:tcPr>
            <w:tcW w:w="1638" w:type="dxa"/>
            <w:noWrap w:val="0"/>
            <w:vAlign w:val="center"/>
          </w:tcPr>
          <w:p w14:paraId="33F2D6A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val="0"/>
                <w:bCs w:val="0"/>
                <w:color w:val="auto"/>
                <w:kern w:val="18"/>
                <w:sz w:val="21"/>
                <w:szCs w:val="21"/>
                <w:highlight w:val="none"/>
                <w:lang w:val="en-US" w:eastAsia="zh-CN" w:bidi="ar-SA"/>
              </w:rPr>
            </w:pPr>
            <w:r>
              <w:rPr>
                <w:rFonts w:hint="eastAsia" w:ascii="Times New Roman" w:hAnsi="Times New Roman" w:eastAsia="宋体" w:cs="Times New Roman"/>
                <w:b w:val="0"/>
                <w:bCs w:val="0"/>
                <w:color w:val="auto"/>
                <w:kern w:val="18"/>
                <w:sz w:val="21"/>
                <w:szCs w:val="21"/>
                <w:highlight w:val="none"/>
                <w:lang w:val="en-US" w:eastAsia="zh-CN" w:bidi="ar-SA"/>
              </w:rPr>
              <w:t>汽车加油加气加氢站技术标准GB50156-2021</w:t>
            </w:r>
          </w:p>
          <w:p w14:paraId="00B1E8D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val="0"/>
                <w:bCs w:val="0"/>
                <w:color w:val="auto"/>
                <w:kern w:val="18"/>
                <w:sz w:val="21"/>
                <w:szCs w:val="21"/>
                <w:highlight w:val="none"/>
                <w:lang w:val="en-US" w:eastAsia="zh-CN" w:bidi="ar-SA"/>
              </w:rPr>
            </w:pPr>
            <w:r>
              <w:rPr>
                <w:rFonts w:hint="eastAsia" w:ascii="Times New Roman" w:hAnsi="Times New Roman" w:eastAsia="宋体" w:cs="Times New Roman"/>
                <w:b w:val="0"/>
                <w:bCs w:val="0"/>
                <w:color w:val="auto"/>
                <w:kern w:val="18"/>
                <w:sz w:val="21"/>
                <w:szCs w:val="21"/>
                <w:highlight w:val="none"/>
                <w:lang w:val="en-US" w:eastAsia="zh-CN" w:bidi="ar-SA"/>
              </w:rPr>
              <w:t>第12.3.2条（</w:t>
            </w:r>
            <w:r>
              <w:rPr>
                <w:rFonts w:hint="eastAsia" w:cs="Times New Roman"/>
                <w:b w:val="0"/>
                <w:bCs w:val="0"/>
                <w:color w:val="auto"/>
                <w:kern w:val="18"/>
                <w:sz w:val="21"/>
                <w:szCs w:val="21"/>
                <w:highlight w:val="none"/>
                <w:lang w:val="en-US" w:eastAsia="zh-CN" w:bidi="ar-SA"/>
              </w:rPr>
              <w:t>4</w:t>
            </w:r>
            <w:r>
              <w:rPr>
                <w:rFonts w:hint="eastAsia" w:ascii="Times New Roman" w:hAnsi="Times New Roman" w:eastAsia="宋体" w:cs="Times New Roman"/>
                <w:b w:val="0"/>
                <w:bCs w:val="0"/>
                <w:color w:val="auto"/>
                <w:kern w:val="18"/>
                <w:sz w:val="21"/>
                <w:szCs w:val="21"/>
                <w:highlight w:val="none"/>
                <w:lang w:val="en-US" w:eastAsia="zh-CN" w:bidi="ar-SA"/>
              </w:rPr>
              <w:t>）</w:t>
            </w:r>
          </w:p>
        </w:tc>
        <w:tc>
          <w:tcPr>
            <w:tcW w:w="1601" w:type="dxa"/>
            <w:noWrap w:val="0"/>
            <w:vAlign w:val="center"/>
          </w:tcPr>
          <w:p w14:paraId="4CE76CED">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hint="default" w:ascii="Times New Roman" w:hAnsi="Times New Roman" w:eastAsia="宋体" w:cs="Times New Roman"/>
                <w:b w:val="0"/>
                <w:bCs w:val="0"/>
                <w:color w:val="auto"/>
                <w:kern w:val="18"/>
                <w:sz w:val="21"/>
                <w:szCs w:val="21"/>
                <w:highlight w:val="none"/>
                <w:lang w:val="en-US" w:eastAsia="zh-CN" w:bidi="ar-SA"/>
              </w:rPr>
            </w:pPr>
            <w:r>
              <w:rPr>
                <w:color w:val="auto"/>
              </w:rPr>
              <w:t>符合要求</w:t>
            </w:r>
          </w:p>
        </w:tc>
        <w:tc>
          <w:tcPr>
            <w:tcW w:w="716" w:type="dxa"/>
            <w:noWrap w:val="0"/>
            <w:vAlign w:val="center"/>
          </w:tcPr>
          <w:p w14:paraId="54A87088">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b w:val="0"/>
                <w:bCs w:val="0"/>
                <w:color w:val="auto"/>
                <w:kern w:val="18"/>
                <w:sz w:val="21"/>
                <w:szCs w:val="21"/>
                <w:highlight w:val="none"/>
                <w:lang w:val="en-US" w:eastAsia="zh-CN" w:bidi="ar-SA"/>
              </w:rPr>
            </w:pPr>
            <w:r>
              <w:rPr>
                <w:color w:val="auto"/>
              </w:rPr>
              <w:t>合格</w:t>
            </w:r>
          </w:p>
        </w:tc>
      </w:tr>
      <w:tr w14:paraId="7E1B7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435" w:type="dxa"/>
            <w:noWrap w:val="0"/>
            <w:vAlign w:val="center"/>
          </w:tcPr>
          <w:p w14:paraId="0D30BE4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5</w:t>
            </w:r>
          </w:p>
        </w:tc>
        <w:tc>
          <w:tcPr>
            <w:tcW w:w="4731" w:type="dxa"/>
            <w:noWrap w:val="0"/>
            <w:vAlign w:val="center"/>
          </w:tcPr>
          <w:p w14:paraId="1C300EC7">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加油站不应采用暗沟排水。</w:t>
            </w:r>
          </w:p>
        </w:tc>
        <w:tc>
          <w:tcPr>
            <w:tcW w:w="1638" w:type="dxa"/>
            <w:noWrap w:val="0"/>
            <w:vAlign w:val="center"/>
          </w:tcPr>
          <w:p w14:paraId="573398D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62CDC1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第12.3.2条（</w:t>
            </w:r>
            <w:r>
              <w:rPr>
                <w:rFonts w:hint="eastAsia" w:cs="Times New Roman"/>
                <w:color w:val="auto"/>
                <w:kern w:val="18"/>
                <w:sz w:val="21"/>
                <w:szCs w:val="21"/>
                <w:highlight w:val="none"/>
                <w:lang w:val="en-US" w:eastAsia="zh-CN" w:bidi="ar-SA"/>
              </w:rPr>
              <w:t>5</w:t>
            </w:r>
            <w:r>
              <w:rPr>
                <w:rFonts w:hint="eastAsia" w:ascii="Times New Roman" w:hAnsi="Times New Roman" w:eastAsia="宋体" w:cs="Times New Roman"/>
                <w:color w:val="auto"/>
                <w:kern w:val="18"/>
                <w:sz w:val="21"/>
                <w:szCs w:val="21"/>
                <w:highlight w:val="none"/>
                <w:lang w:val="en-US" w:eastAsia="zh-CN" w:bidi="ar-SA"/>
              </w:rPr>
              <w:t>）</w:t>
            </w:r>
          </w:p>
        </w:tc>
        <w:tc>
          <w:tcPr>
            <w:tcW w:w="1601" w:type="dxa"/>
            <w:noWrap w:val="0"/>
            <w:vAlign w:val="center"/>
          </w:tcPr>
          <w:p w14:paraId="335CF0F6">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color w:val="auto"/>
              </w:rPr>
              <w:t>散流</w:t>
            </w:r>
          </w:p>
        </w:tc>
        <w:tc>
          <w:tcPr>
            <w:tcW w:w="716" w:type="dxa"/>
            <w:noWrap w:val="0"/>
            <w:vAlign w:val="center"/>
          </w:tcPr>
          <w:p w14:paraId="30F3756E">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color w:val="auto"/>
              </w:rPr>
              <w:t>合格</w:t>
            </w:r>
          </w:p>
        </w:tc>
      </w:tr>
      <w:tr w14:paraId="1004D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435" w:type="dxa"/>
            <w:noWrap w:val="0"/>
            <w:vAlign w:val="center"/>
          </w:tcPr>
          <w:p w14:paraId="1E8F84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6</w:t>
            </w:r>
          </w:p>
        </w:tc>
        <w:tc>
          <w:tcPr>
            <w:tcW w:w="4731" w:type="dxa"/>
            <w:noWrap w:val="0"/>
            <w:vAlign w:val="center"/>
          </w:tcPr>
          <w:p w14:paraId="3955150E">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排水井、雨水口和化粪池不应设在作业区和可燃液体出现</w:t>
            </w:r>
            <w:r>
              <w:rPr>
                <w:rFonts w:hint="eastAsia"/>
                <w:color w:val="auto"/>
                <w:lang w:eastAsia="zh-CN"/>
              </w:rPr>
              <w:t>泄漏</w:t>
            </w:r>
            <w:r>
              <w:rPr>
                <w:color w:val="auto"/>
              </w:rPr>
              <w:t>事故时可能流经的部位。</w:t>
            </w:r>
          </w:p>
        </w:tc>
        <w:tc>
          <w:tcPr>
            <w:tcW w:w="1638" w:type="dxa"/>
            <w:noWrap w:val="0"/>
            <w:vAlign w:val="center"/>
          </w:tcPr>
          <w:p w14:paraId="642D687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49A86E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第12.3.</w:t>
            </w:r>
            <w:r>
              <w:rPr>
                <w:rFonts w:hint="eastAsia" w:cs="Times New Roman"/>
                <w:color w:val="auto"/>
                <w:kern w:val="18"/>
                <w:sz w:val="21"/>
                <w:szCs w:val="21"/>
                <w:highlight w:val="none"/>
                <w:lang w:val="en-US" w:eastAsia="zh-CN" w:bidi="ar-SA"/>
              </w:rPr>
              <w:t>3</w:t>
            </w:r>
            <w:r>
              <w:rPr>
                <w:rFonts w:hint="eastAsia" w:ascii="Times New Roman" w:hAnsi="Times New Roman" w:eastAsia="宋体" w:cs="Times New Roman"/>
                <w:color w:val="auto"/>
                <w:kern w:val="18"/>
                <w:sz w:val="21"/>
                <w:szCs w:val="21"/>
                <w:highlight w:val="none"/>
                <w:lang w:val="en-US" w:eastAsia="zh-CN" w:bidi="ar-SA"/>
              </w:rPr>
              <w:t>条</w:t>
            </w:r>
          </w:p>
        </w:tc>
        <w:tc>
          <w:tcPr>
            <w:tcW w:w="1601" w:type="dxa"/>
            <w:noWrap w:val="0"/>
            <w:vAlign w:val="center"/>
          </w:tcPr>
          <w:p w14:paraId="691D7C2D">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rFonts w:hint="eastAsia"/>
                <w:color w:val="auto"/>
                <w:lang w:val="en-US" w:eastAsia="zh-CN"/>
              </w:rPr>
              <w:t>未设置</w:t>
            </w:r>
            <w:r>
              <w:rPr>
                <w:color w:val="auto"/>
              </w:rPr>
              <w:t>排水井、雨水口和化粪池</w:t>
            </w:r>
          </w:p>
        </w:tc>
        <w:tc>
          <w:tcPr>
            <w:tcW w:w="716" w:type="dxa"/>
            <w:noWrap w:val="0"/>
            <w:vAlign w:val="center"/>
          </w:tcPr>
          <w:p w14:paraId="29D8319F">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color w:val="auto"/>
              </w:rPr>
              <w:t>合格</w:t>
            </w:r>
          </w:p>
        </w:tc>
      </w:tr>
    </w:tbl>
    <w:p w14:paraId="2071D2A8">
      <w:pPr>
        <w:pStyle w:val="4"/>
        <w:bidi w:val="0"/>
        <w:rPr>
          <w:rFonts w:hint="default"/>
          <w:lang w:val="en-US" w:eastAsia="zh-CN"/>
        </w:rPr>
      </w:pPr>
      <w:bookmarkStart w:id="109" w:name="_Toc22637"/>
      <w:r>
        <w:rPr>
          <w:rFonts w:hint="default"/>
          <w:lang w:val="en-US" w:eastAsia="zh-CN"/>
        </w:rPr>
        <w:t>F3.4.2</w:t>
      </w:r>
      <w:r>
        <w:rPr>
          <w:rFonts w:hint="eastAsia"/>
          <w:lang w:val="en-US" w:eastAsia="zh-CN"/>
        </w:rPr>
        <w:t xml:space="preserve"> </w:t>
      </w:r>
      <w:r>
        <w:rPr>
          <w:rFonts w:hint="default"/>
          <w:lang w:val="en-US" w:eastAsia="zh-CN"/>
        </w:rPr>
        <w:t>加油站电气、报警和紧急切断系统符合性评价</w:t>
      </w:r>
      <w:bookmarkEnd w:id="109"/>
    </w:p>
    <w:p w14:paraId="0990558C">
      <w:pPr>
        <w:ind w:left="0" w:leftChars="0" w:firstLine="0" w:firstLineChars="0"/>
        <w:jc w:val="center"/>
        <w:rPr>
          <w:rFonts w:hint="default"/>
          <w:lang w:val="en-US" w:eastAsia="zh-CN"/>
        </w:rPr>
      </w:pPr>
      <w:r>
        <w:rPr>
          <w:rFonts w:hint="default"/>
          <w:lang w:val="en-US" w:eastAsia="zh-CN"/>
        </w:rPr>
        <w:t>表F3.4-2 加油站电气、报警和紧急切断系统检查表</w:t>
      </w:r>
    </w:p>
    <w:tbl>
      <w:tblPr>
        <w:tblStyle w:val="20"/>
        <w:tblW w:w="503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30"/>
        <w:gridCol w:w="4637"/>
        <w:gridCol w:w="1794"/>
        <w:gridCol w:w="1614"/>
        <w:gridCol w:w="667"/>
      </w:tblGrid>
      <w:tr w14:paraId="4D80A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9" w:hRule="atLeast"/>
        </w:trPr>
        <w:tc>
          <w:tcPr>
            <w:tcW w:w="235" w:type="pct"/>
            <w:noWrap w:val="0"/>
            <w:vAlign w:val="center"/>
          </w:tcPr>
          <w:p w14:paraId="0DA5BD9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color w:val="auto"/>
                <w:kern w:val="18"/>
                <w:sz w:val="21"/>
                <w:szCs w:val="21"/>
                <w:highlight w:val="none"/>
                <w:lang w:val="en-US" w:eastAsia="zh-CN" w:bidi="ar-SA"/>
              </w:rPr>
            </w:pPr>
            <w:r>
              <w:rPr>
                <w:rFonts w:ascii="Times New Roman" w:hAnsi="Times New Roman" w:eastAsia="宋体" w:cs="Times New Roman"/>
                <w:b/>
                <w:bCs/>
                <w:color w:val="auto"/>
                <w:kern w:val="18"/>
                <w:sz w:val="21"/>
                <w:szCs w:val="21"/>
                <w:highlight w:val="none"/>
                <w:lang w:val="en-US" w:eastAsia="zh-CN" w:bidi="ar-SA"/>
              </w:rPr>
              <w:t>序号</w:t>
            </w:r>
          </w:p>
        </w:tc>
        <w:tc>
          <w:tcPr>
            <w:tcW w:w="2536" w:type="pct"/>
            <w:noWrap w:val="0"/>
            <w:vAlign w:val="center"/>
          </w:tcPr>
          <w:p w14:paraId="3D634A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color w:val="auto"/>
                <w:kern w:val="18"/>
                <w:sz w:val="21"/>
                <w:szCs w:val="21"/>
                <w:highlight w:val="none"/>
                <w:lang w:val="en-US" w:eastAsia="zh-CN" w:bidi="ar-SA"/>
              </w:rPr>
            </w:pPr>
            <w:r>
              <w:rPr>
                <w:rFonts w:ascii="Times New Roman" w:hAnsi="Times New Roman" w:eastAsia="宋体" w:cs="Times New Roman"/>
                <w:b/>
                <w:bCs/>
                <w:color w:val="auto"/>
                <w:kern w:val="18"/>
                <w:sz w:val="21"/>
                <w:szCs w:val="21"/>
                <w:highlight w:val="none"/>
                <w:lang w:val="en-US" w:eastAsia="zh-CN" w:bidi="ar-SA"/>
              </w:rPr>
              <w:t>检查内容</w:t>
            </w:r>
          </w:p>
        </w:tc>
        <w:tc>
          <w:tcPr>
            <w:tcW w:w="981" w:type="pct"/>
            <w:noWrap w:val="0"/>
            <w:vAlign w:val="center"/>
          </w:tcPr>
          <w:p w14:paraId="32212A2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color w:val="auto"/>
                <w:kern w:val="18"/>
                <w:sz w:val="21"/>
                <w:szCs w:val="21"/>
                <w:highlight w:val="none"/>
                <w:lang w:val="en-US" w:eastAsia="zh-CN" w:bidi="ar-SA"/>
              </w:rPr>
            </w:pPr>
            <w:r>
              <w:rPr>
                <w:rFonts w:ascii="Times New Roman" w:hAnsi="Times New Roman" w:eastAsia="宋体" w:cs="Times New Roman"/>
                <w:b/>
                <w:bCs/>
                <w:color w:val="auto"/>
                <w:kern w:val="18"/>
                <w:sz w:val="21"/>
                <w:szCs w:val="21"/>
                <w:highlight w:val="none"/>
                <w:lang w:val="en-US" w:eastAsia="zh-CN" w:bidi="ar-SA"/>
              </w:rPr>
              <w:t>标准条款</w:t>
            </w:r>
          </w:p>
        </w:tc>
        <w:tc>
          <w:tcPr>
            <w:tcW w:w="883" w:type="pct"/>
            <w:noWrap w:val="0"/>
            <w:vAlign w:val="center"/>
          </w:tcPr>
          <w:p w14:paraId="302A591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color w:val="auto"/>
                <w:kern w:val="18"/>
                <w:sz w:val="21"/>
                <w:szCs w:val="21"/>
                <w:highlight w:val="none"/>
                <w:lang w:val="en-US" w:eastAsia="zh-CN" w:bidi="ar-SA"/>
              </w:rPr>
            </w:pPr>
            <w:r>
              <w:rPr>
                <w:rFonts w:ascii="Times New Roman" w:hAnsi="Times New Roman" w:eastAsia="宋体" w:cs="Times New Roman"/>
                <w:b/>
                <w:bCs/>
                <w:color w:val="auto"/>
                <w:kern w:val="18"/>
                <w:sz w:val="21"/>
                <w:szCs w:val="21"/>
                <w:highlight w:val="none"/>
                <w:lang w:val="en-US" w:eastAsia="zh-CN" w:bidi="ar-SA"/>
              </w:rPr>
              <w:t>检查情况</w:t>
            </w:r>
          </w:p>
        </w:tc>
        <w:tc>
          <w:tcPr>
            <w:tcW w:w="362" w:type="pct"/>
            <w:noWrap w:val="0"/>
            <w:vAlign w:val="center"/>
          </w:tcPr>
          <w:p w14:paraId="237190C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color w:val="auto"/>
                <w:kern w:val="18"/>
                <w:sz w:val="21"/>
                <w:szCs w:val="21"/>
                <w:highlight w:val="none"/>
                <w:lang w:val="en-US" w:eastAsia="zh-CN" w:bidi="ar-SA"/>
              </w:rPr>
            </w:pPr>
            <w:r>
              <w:rPr>
                <w:rFonts w:ascii="Times New Roman" w:hAnsi="Times New Roman" w:eastAsia="宋体" w:cs="Times New Roman"/>
                <w:b/>
                <w:bCs/>
                <w:color w:val="auto"/>
                <w:kern w:val="18"/>
                <w:sz w:val="21"/>
                <w:szCs w:val="21"/>
                <w:highlight w:val="none"/>
                <w:lang w:val="en-US" w:eastAsia="zh-CN" w:bidi="ar-SA"/>
              </w:rPr>
              <w:t>评价</w:t>
            </w:r>
          </w:p>
          <w:p w14:paraId="69460FB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color w:val="auto"/>
                <w:kern w:val="18"/>
                <w:sz w:val="21"/>
                <w:szCs w:val="21"/>
                <w:highlight w:val="none"/>
                <w:lang w:val="en-US" w:eastAsia="zh-CN" w:bidi="ar-SA"/>
              </w:rPr>
            </w:pPr>
            <w:r>
              <w:rPr>
                <w:rFonts w:ascii="Times New Roman" w:hAnsi="Times New Roman" w:eastAsia="宋体" w:cs="Times New Roman"/>
                <w:b/>
                <w:bCs/>
                <w:color w:val="auto"/>
                <w:kern w:val="18"/>
                <w:sz w:val="21"/>
                <w:szCs w:val="21"/>
                <w:highlight w:val="none"/>
                <w:lang w:val="en-US" w:eastAsia="zh-CN" w:bidi="ar-SA"/>
              </w:rPr>
              <w:t>结果</w:t>
            </w:r>
          </w:p>
        </w:tc>
      </w:tr>
      <w:tr w14:paraId="0CD38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5" w:hRule="atLeast"/>
        </w:trPr>
        <w:tc>
          <w:tcPr>
            <w:tcW w:w="5000" w:type="pct"/>
            <w:gridSpan w:val="5"/>
            <w:noWrap w:val="0"/>
            <w:vAlign w:val="center"/>
          </w:tcPr>
          <w:p w14:paraId="2DC3A5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color w:val="auto"/>
                <w:sz w:val="21"/>
                <w:szCs w:val="21"/>
              </w:rPr>
              <w:t>供配电</w:t>
            </w:r>
          </w:p>
        </w:tc>
      </w:tr>
      <w:tr w14:paraId="71B47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72" w:hRule="atLeast"/>
        </w:trPr>
        <w:tc>
          <w:tcPr>
            <w:tcW w:w="235" w:type="pct"/>
            <w:noWrap w:val="0"/>
            <w:vAlign w:val="center"/>
          </w:tcPr>
          <w:p w14:paraId="2ADF687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1</w:t>
            </w:r>
          </w:p>
        </w:tc>
        <w:tc>
          <w:tcPr>
            <w:tcW w:w="2536" w:type="pct"/>
            <w:noWrap w:val="0"/>
            <w:vAlign w:val="center"/>
          </w:tcPr>
          <w:p w14:paraId="203B9BB3">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hint="default" w:ascii="Times New Roman" w:hAnsi="Times New Roman" w:eastAsia="宋体" w:cs="Times New Roman"/>
                <w:color w:val="auto"/>
                <w:kern w:val="18"/>
                <w:sz w:val="21"/>
                <w:szCs w:val="21"/>
                <w:highlight w:val="none"/>
                <w:lang w:val="en-US" w:eastAsia="zh-CN" w:bidi="ar-SA"/>
              </w:rPr>
            </w:pPr>
            <w:r>
              <w:rPr>
                <w:color w:val="auto"/>
              </w:rPr>
              <w:t>加油站的供电负荷等级可为三级，信息系统应设不间断供电电源。</w:t>
            </w:r>
          </w:p>
        </w:tc>
        <w:tc>
          <w:tcPr>
            <w:tcW w:w="981" w:type="pct"/>
            <w:noWrap w:val="0"/>
            <w:vAlign w:val="center"/>
          </w:tcPr>
          <w:p w14:paraId="0D2898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345DF9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3.1.1</w:t>
            </w:r>
            <w:r>
              <w:rPr>
                <w:rFonts w:hint="eastAsia" w:ascii="Times New Roman" w:hAnsi="Times New Roman" w:eastAsia="宋体" w:cs="Times New Roman"/>
                <w:color w:val="auto"/>
                <w:kern w:val="18"/>
                <w:sz w:val="21"/>
                <w:szCs w:val="21"/>
                <w:highlight w:val="none"/>
                <w:lang w:val="en-US" w:eastAsia="zh-CN" w:bidi="ar-SA"/>
              </w:rPr>
              <w:t>条</w:t>
            </w:r>
          </w:p>
        </w:tc>
        <w:tc>
          <w:tcPr>
            <w:tcW w:w="883" w:type="pct"/>
            <w:noWrap w:val="0"/>
            <w:vAlign w:val="center"/>
          </w:tcPr>
          <w:p w14:paraId="0C3A2C57">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hint="default" w:ascii="Times New Roman" w:hAnsi="Times New Roman" w:eastAsia="宋体" w:cs="Times New Roman"/>
                <w:b w:val="0"/>
                <w:bCs w:val="0"/>
                <w:color w:val="auto"/>
                <w:kern w:val="18"/>
                <w:sz w:val="21"/>
                <w:szCs w:val="21"/>
                <w:highlight w:val="none"/>
                <w:lang w:val="en-US" w:eastAsia="zh-CN" w:bidi="ar-SA"/>
              </w:rPr>
            </w:pPr>
            <w:r>
              <w:rPr>
                <w:rFonts w:hint="eastAsia"/>
                <w:color w:val="auto"/>
                <w:lang w:val="en-US" w:eastAsia="zh-CN"/>
              </w:rPr>
              <w:t>现场未见UPS电备用电源。</w:t>
            </w:r>
          </w:p>
        </w:tc>
        <w:tc>
          <w:tcPr>
            <w:tcW w:w="362" w:type="pct"/>
            <w:noWrap w:val="0"/>
            <w:vAlign w:val="center"/>
          </w:tcPr>
          <w:p w14:paraId="458679DF">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b w:val="0"/>
                <w:bCs w:val="0"/>
                <w:color w:val="auto"/>
                <w:kern w:val="18"/>
                <w:sz w:val="21"/>
                <w:szCs w:val="21"/>
                <w:highlight w:val="none"/>
                <w:lang w:val="en-US" w:eastAsia="zh-CN" w:bidi="ar-SA"/>
              </w:rPr>
            </w:pPr>
            <w:r>
              <w:rPr>
                <w:rFonts w:hint="eastAsia"/>
                <w:color w:val="auto"/>
                <w:lang w:val="en-US" w:eastAsia="zh-CN"/>
              </w:rPr>
              <w:t>不</w:t>
            </w:r>
            <w:r>
              <w:rPr>
                <w:color w:val="auto"/>
              </w:rPr>
              <w:t>合格</w:t>
            </w:r>
          </w:p>
        </w:tc>
      </w:tr>
      <w:tr w14:paraId="2B04B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 w:hRule="atLeast"/>
        </w:trPr>
        <w:tc>
          <w:tcPr>
            <w:tcW w:w="235" w:type="pct"/>
            <w:noWrap w:val="0"/>
            <w:vAlign w:val="center"/>
          </w:tcPr>
          <w:p w14:paraId="5DC7146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2</w:t>
            </w:r>
          </w:p>
        </w:tc>
        <w:tc>
          <w:tcPr>
            <w:tcW w:w="2536" w:type="pct"/>
            <w:noWrap w:val="0"/>
            <w:vAlign w:val="center"/>
          </w:tcPr>
          <w:p w14:paraId="6092FDCA">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left"/>
              <w:textAlignment w:val="auto"/>
              <w:rPr>
                <w:rFonts w:hint="default" w:ascii="Times New Roman" w:hAnsi="Times New Roman" w:eastAsia="宋体" w:cs="Times New Roman"/>
                <w:color w:val="auto"/>
                <w:kern w:val="18"/>
                <w:sz w:val="21"/>
                <w:szCs w:val="21"/>
                <w:highlight w:val="none"/>
                <w:lang w:val="en-US" w:eastAsia="zh-CN" w:bidi="ar-SA"/>
              </w:rPr>
            </w:pPr>
            <w:r>
              <w:rPr>
                <w:color w:val="auto"/>
              </w:rPr>
              <w:t>加油站的供电电源宜采用电压为380/220V的外接电源。</w:t>
            </w:r>
          </w:p>
        </w:tc>
        <w:tc>
          <w:tcPr>
            <w:tcW w:w="981" w:type="pct"/>
            <w:noWrap w:val="0"/>
            <w:vAlign w:val="center"/>
          </w:tcPr>
          <w:p w14:paraId="0B3D5DD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3527B00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3.1.2</w:t>
            </w:r>
            <w:r>
              <w:rPr>
                <w:rFonts w:hint="eastAsia" w:ascii="Times New Roman" w:hAnsi="Times New Roman" w:eastAsia="宋体" w:cs="Times New Roman"/>
                <w:color w:val="auto"/>
                <w:kern w:val="18"/>
                <w:sz w:val="21"/>
                <w:szCs w:val="21"/>
                <w:highlight w:val="none"/>
                <w:lang w:val="en-US" w:eastAsia="zh-CN" w:bidi="ar-SA"/>
              </w:rPr>
              <w:t>条</w:t>
            </w:r>
          </w:p>
        </w:tc>
        <w:tc>
          <w:tcPr>
            <w:tcW w:w="883" w:type="pct"/>
            <w:noWrap w:val="0"/>
            <w:vAlign w:val="center"/>
          </w:tcPr>
          <w:p w14:paraId="48CA1EE1">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hint="default" w:ascii="Times New Roman" w:hAnsi="Times New Roman" w:eastAsia="宋体" w:cs="Times New Roman"/>
                <w:b w:val="0"/>
                <w:bCs w:val="0"/>
                <w:color w:val="auto"/>
                <w:kern w:val="18"/>
                <w:sz w:val="21"/>
                <w:szCs w:val="21"/>
                <w:highlight w:val="none"/>
                <w:lang w:val="en-US" w:eastAsia="zh-CN" w:bidi="ar-SA"/>
              </w:rPr>
            </w:pPr>
            <w:r>
              <w:rPr>
                <w:color w:val="auto"/>
              </w:rPr>
              <w:t>380/220V外接电源</w:t>
            </w:r>
          </w:p>
        </w:tc>
        <w:tc>
          <w:tcPr>
            <w:tcW w:w="362" w:type="pct"/>
            <w:noWrap w:val="0"/>
            <w:vAlign w:val="center"/>
          </w:tcPr>
          <w:p w14:paraId="01E48560">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b w:val="0"/>
                <w:bCs w:val="0"/>
                <w:color w:val="auto"/>
                <w:kern w:val="18"/>
                <w:sz w:val="21"/>
                <w:szCs w:val="21"/>
                <w:highlight w:val="none"/>
                <w:lang w:val="en-US" w:eastAsia="zh-CN" w:bidi="ar-SA"/>
              </w:rPr>
            </w:pPr>
            <w:r>
              <w:rPr>
                <w:color w:val="auto"/>
              </w:rPr>
              <w:t>合格</w:t>
            </w:r>
          </w:p>
        </w:tc>
      </w:tr>
      <w:tr w14:paraId="52962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 w:hRule="atLeast"/>
        </w:trPr>
        <w:tc>
          <w:tcPr>
            <w:tcW w:w="235" w:type="pct"/>
            <w:noWrap w:val="0"/>
            <w:vAlign w:val="center"/>
          </w:tcPr>
          <w:p w14:paraId="76582F8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3</w:t>
            </w:r>
          </w:p>
        </w:tc>
        <w:tc>
          <w:tcPr>
            <w:tcW w:w="2536" w:type="pct"/>
            <w:noWrap w:val="0"/>
            <w:vAlign w:val="center"/>
          </w:tcPr>
          <w:p w14:paraId="717C02F3">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hint="default" w:ascii="Times New Roman" w:hAnsi="Times New Roman" w:eastAsia="宋体" w:cs="Times New Roman"/>
                <w:color w:val="auto"/>
                <w:kern w:val="18"/>
                <w:sz w:val="21"/>
                <w:szCs w:val="21"/>
                <w:highlight w:val="none"/>
                <w:lang w:val="en-US" w:eastAsia="zh-CN" w:bidi="ar-SA"/>
              </w:rPr>
            </w:pPr>
            <w:r>
              <w:rPr>
                <w:color w:val="auto"/>
              </w:rPr>
              <w:t>加油站的消防泵房、罩棚、营业室等处，均应设事故照明，连续供电时间不应少于90min。</w:t>
            </w:r>
          </w:p>
        </w:tc>
        <w:tc>
          <w:tcPr>
            <w:tcW w:w="981" w:type="pct"/>
            <w:noWrap w:val="0"/>
            <w:vAlign w:val="center"/>
          </w:tcPr>
          <w:p w14:paraId="798C29F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5CC6B57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3.1.3</w:t>
            </w:r>
            <w:r>
              <w:rPr>
                <w:rFonts w:hint="eastAsia" w:ascii="Times New Roman" w:hAnsi="Times New Roman" w:eastAsia="宋体" w:cs="Times New Roman"/>
                <w:color w:val="auto"/>
                <w:kern w:val="18"/>
                <w:sz w:val="21"/>
                <w:szCs w:val="21"/>
                <w:highlight w:val="none"/>
                <w:lang w:val="en-US" w:eastAsia="zh-CN" w:bidi="ar-SA"/>
              </w:rPr>
              <w:t>条</w:t>
            </w:r>
          </w:p>
        </w:tc>
        <w:tc>
          <w:tcPr>
            <w:tcW w:w="883" w:type="pct"/>
            <w:noWrap w:val="0"/>
            <w:vAlign w:val="center"/>
          </w:tcPr>
          <w:p w14:paraId="6015AF32">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撬装加油装置未见应急照明</w:t>
            </w:r>
          </w:p>
        </w:tc>
        <w:tc>
          <w:tcPr>
            <w:tcW w:w="362" w:type="pct"/>
            <w:noWrap w:val="0"/>
            <w:vAlign w:val="center"/>
          </w:tcPr>
          <w:p w14:paraId="0A7E47F6">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不合格</w:t>
            </w:r>
          </w:p>
        </w:tc>
      </w:tr>
      <w:tr w14:paraId="2E9BF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98" w:hRule="atLeast"/>
        </w:trPr>
        <w:tc>
          <w:tcPr>
            <w:tcW w:w="235" w:type="pct"/>
            <w:noWrap w:val="0"/>
            <w:vAlign w:val="center"/>
          </w:tcPr>
          <w:p w14:paraId="7668C5F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4</w:t>
            </w:r>
          </w:p>
        </w:tc>
        <w:tc>
          <w:tcPr>
            <w:tcW w:w="2536" w:type="pct"/>
            <w:noWrap w:val="0"/>
            <w:vAlign w:val="center"/>
          </w:tcPr>
          <w:p w14:paraId="14D40C3A">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hint="default" w:ascii="Times New Roman" w:hAnsi="Times New Roman" w:eastAsia="宋体" w:cs="Times New Roman"/>
                <w:color w:val="auto"/>
                <w:kern w:val="18"/>
                <w:sz w:val="21"/>
                <w:szCs w:val="21"/>
                <w:highlight w:val="none"/>
                <w:lang w:val="en-US" w:eastAsia="zh-CN" w:bidi="ar-SA"/>
              </w:rPr>
            </w:pPr>
            <w:r>
              <w:rPr>
                <w:color w:val="auto"/>
              </w:rPr>
              <w:t>加油站的电力线路宜采用直埋或电缆穿管敷设。电缆穿越行车道部分，应穿钢管保护。</w:t>
            </w:r>
          </w:p>
        </w:tc>
        <w:tc>
          <w:tcPr>
            <w:tcW w:w="981" w:type="pct"/>
            <w:noWrap w:val="0"/>
            <w:vAlign w:val="center"/>
          </w:tcPr>
          <w:p w14:paraId="5DFA751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1579A1F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3.1.5</w:t>
            </w:r>
            <w:r>
              <w:rPr>
                <w:rFonts w:hint="eastAsia" w:ascii="Times New Roman" w:hAnsi="Times New Roman" w:eastAsia="宋体" w:cs="Times New Roman"/>
                <w:color w:val="auto"/>
                <w:kern w:val="18"/>
                <w:sz w:val="21"/>
                <w:szCs w:val="21"/>
                <w:highlight w:val="none"/>
                <w:lang w:val="en-US" w:eastAsia="zh-CN" w:bidi="ar-SA"/>
              </w:rPr>
              <w:t>条</w:t>
            </w:r>
          </w:p>
        </w:tc>
        <w:tc>
          <w:tcPr>
            <w:tcW w:w="883" w:type="pct"/>
            <w:noWrap w:val="0"/>
            <w:vAlign w:val="center"/>
          </w:tcPr>
          <w:p w14:paraId="77CE49E0">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hint="default" w:ascii="Times New Roman" w:hAnsi="Times New Roman" w:eastAsia="宋体" w:cs="Times New Roman"/>
                <w:b w:val="0"/>
                <w:bCs w:val="0"/>
                <w:color w:val="auto"/>
                <w:kern w:val="18"/>
                <w:sz w:val="21"/>
                <w:szCs w:val="21"/>
                <w:highlight w:val="none"/>
                <w:lang w:val="en-US" w:eastAsia="zh-CN" w:bidi="ar-SA"/>
              </w:rPr>
            </w:pPr>
            <w:r>
              <w:rPr>
                <w:color w:val="auto"/>
              </w:rPr>
              <w:t>该站的电力线路采用电缆穿管敷设</w:t>
            </w:r>
          </w:p>
        </w:tc>
        <w:tc>
          <w:tcPr>
            <w:tcW w:w="362" w:type="pct"/>
            <w:noWrap w:val="0"/>
            <w:vAlign w:val="center"/>
          </w:tcPr>
          <w:p w14:paraId="39C96C0B">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b w:val="0"/>
                <w:bCs w:val="0"/>
                <w:color w:val="auto"/>
                <w:kern w:val="18"/>
                <w:sz w:val="21"/>
                <w:szCs w:val="21"/>
                <w:highlight w:val="none"/>
                <w:lang w:val="en-US" w:eastAsia="zh-CN" w:bidi="ar-SA"/>
              </w:rPr>
            </w:pPr>
            <w:r>
              <w:rPr>
                <w:color w:val="auto"/>
              </w:rPr>
              <w:t>合格</w:t>
            </w:r>
          </w:p>
        </w:tc>
      </w:tr>
      <w:tr w14:paraId="3A6F3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63" w:hRule="atLeast"/>
        </w:trPr>
        <w:tc>
          <w:tcPr>
            <w:tcW w:w="235" w:type="pct"/>
            <w:noWrap w:val="0"/>
            <w:vAlign w:val="center"/>
          </w:tcPr>
          <w:p w14:paraId="38F4BF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5</w:t>
            </w:r>
          </w:p>
        </w:tc>
        <w:tc>
          <w:tcPr>
            <w:tcW w:w="2536" w:type="pct"/>
            <w:noWrap w:val="0"/>
            <w:vAlign w:val="center"/>
          </w:tcPr>
          <w:p w14:paraId="51439E7C">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hint="default" w:ascii="Times New Roman" w:hAnsi="Times New Roman" w:eastAsia="宋体" w:cs="Times New Roman"/>
                <w:color w:val="auto"/>
                <w:kern w:val="18"/>
                <w:sz w:val="21"/>
                <w:szCs w:val="21"/>
                <w:highlight w:val="none"/>
                <w:lang w:val="en-US" w:eastAsia="zh-CN" w:bidi="ar-SA"/>
              </w:rPr>
            </w:pPr>
            <w:r>
              <w:rPr>
                <w:color w:val="auto"/>
              </w:rPr>
              <w:t>当采用电缆沟敷设电缆时，加油作业区内的电缆沟内必须充沙填实。电缆不得与氢气、油品、LPG、LNG和CNG管道以及热力管道敷设在同一沟内。</w:t>
            </w:r>
          </w:p>
        </w:tc>
        <w:tc>
          <w:tcPr>
            <w:tcW w:w="981" w:type="pct"/>
            <w:noWrap w:val="0"/>
            <w:vAlign w:val="center"/>
          </w:tcPr>
          <w:p w14:paraId="7C8B653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27F12A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3.1.6</w:t>
            </w:r>
            <w:r>
              <w:rPr>
                <w:rFonts w:hint="eastAsia" w:ascii="Times New Roman" w:hAnsi="Times New Roman" w:eastAsia="宋体" w:cs="Times New Roman"/>
                <w:color w:val="auto"/>
                <w:kern w:val="18"/>
                <w:sz w:val="21"/>
                <w:szCs w:val="21"/>
                <w:highlight w:val="none"/>
                <w:lang w:val="en-US" w:eastAsia="zh-CN" w:bidi="ar-SA"/>
              </w:rPr>
              <w:t>条</w:t>
            </w:r>
          </w:p>
        </w:tc>
        <w:tc>
          <w:tcPr>
            <w:tcW w:w="883" w:type="pct"/>
            <w:noWrap w:val="0"/>
            <w:vAlign w:val="center"/>
          </w:tcPr>
          <w:p w14:paraId="559DBB51">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hint="default" w:ascii="Times New Roman" w:hAnsi="Times New Roman" w:eastAsia="宋体" w:cs="Times New Roman"/>
                <w:b w:val="0"/>
                <w:bCs w:val="0"/>
                <w:color w:val="auto"/>
                <w:kern w:val="18"/>
                <w:sz w:val="21"/>
                <w:szCs w:val="21"/>
                <w:highlight w:val="none"/>
                <w:lang w:val="en-US" w:eastAsia="zh-CN" w:bidi="ar-SA"/>
              </w:rPr>
            </w:pPr>
            <w:r>
              <w:rPr>
                <w:color w:val="auto"/>
              </w:rPr>
              <w:t>该站的电力线路采用电缆穿管敷设</w:t>
            </w:r>
          </w:p>
        </w:tc>
        <w:tc>
          <w:tcPr>
            <w:tcW w:w="362" w:type="pct"/>
            <w:noWrap w:val="0"/>
            <w:vAlign w:val="center"/>
          </w:tcPr>
          <w:p w14:paraId="409FA137">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b w:val="0"/>
                <w:bCs w:val="0"/>
                <w:color w:val="auto"/>
                <w:kern w:val="18"/>
                <w:sz w:val="21"/>
                <w:szCs w:val="21"/>
                <w:highlight w:val="none"/>
                <w:lang w:val="en-US" w:eastAsia="zh-CN" w:bidi="ar-SA"/>
              </w:rPr>
            </w:pPr>
            <w:r>
              <w:rPr>
                <w:color w:val="auto"/>
              </w:rPr>
              <w:t>合格</w:t>
            </w:r>
          </w:p>
        </w:tc>
      </w:tr>
      <w:tr w14:paraId="56920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 w:hRule="atLeast"/>
        </w:trPr>
        <w:tc>
          <w:tcPr>
            <w:tcW w:w="235" w:type="pct"/>
            <w:noWrap w:val="0"/>
            <w:vAlign w:val="center"/>
          </w:tcPr>
          <w:p w14:paraId="7475081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6</w:t>
            </w:r>
          </w:p>
        </w:tc>
        <w:tc>
          <w:tcPr>
            <w:tcW w:w="2536" w:type="pct"/>
            <w:noWrap w:val="0"/>
            <w:vAlign w:val="center"/>
          </w:tcPr>
          <w:p w14:paraId="6EB73478">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hint="default" w:ascii="Times New Roman" w:hAnsi="Times New Roman" w:eastAsia="宋体" w:cs="Times New Roman"/>
                <w:color w:val="auto"/>
                <w:kern w:val="18"/>
                <w:sz w:val="21"/>
                <w:szCs w:val="21"/>
                <w:highlight w:val="none"/>
                <w:lang w:val="en-US" w:eastAsia="zh-CN" w:bidi="ar-SA"/>
              </w:rPr>
            </w:pPr>
            <w:r>
              <w:rPr>
                <w:color w:val="auto"/>
              </w:rPr>
              <w:t>爆炸危险区域内的电气设备选型、安装、电力线路敷设应符合现行国家标准《爆炸危险环境电力装置设计规范》GB50058的有关规定。</w:t>
            </w:r>
          </w:p>
        </w:tc>
        <w:tc>
          <w:tcPr>
            <w:tcW w:w="981" w:type="pct"/>
            <w:noWrap w:val="0"/>
            <w:vAlign w:val="center"/>
          </w:tcPr>
          <w:p w14:paraId="3C62225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67400F6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3.1.7</w:t>
            </w:r>
            <w:r>
              <w:rPr>
                <w:rFonts w:hint="eastAsia" w:ascii="Times New Roman" w:hAnsi="Times New Roman" w:eastAsia="宋体" w:cs="Times New Roman"/>
                <w:color w:val="auto"/>
                <w:kern w:val="18"/>
                <w:sz w:val="21"/>
                <w:szCs w:val="21"/>
                <w:highlight w:val="none"/>
                <w:lang w:val="en-US" w:eastAsia="zh-CN" w:bidi="ar-SA"/>
              </w:rPr>
              <w:t>条</w:t>
            </w:r>
          </w:p>
        </w:tc>
        <w:tc>
          <w:tcPr>
            <w:tcW w:w="883" w:type="pct"/>
            <w:noWrap w:val="0"/>
            <w:vAlign w:val="center"/>
          </w:tcPr>
          <w:p w14:paraId="39DCA002">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hint="default" w:ascii="Times New Roman" w:hAnsi="Times New Roman" w:eastAsia="宋体" w:cs="Times New Roman"/>
                <w:b w:val="0"/>
                <w:bCs w:val="0"/>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柴油不涉及爆炸危险区域。</w:t>
            </w:r>
          </w:p>
        </w:tc>
        <w:tc>
          <w:tcPr>
            <w:tcW w:w="362" w:type="pct"/>
            <w:noWrap w:val="0"/>
            <w:vAlign w:val="center"/>
          </w:tcPr>
          <w:p w14:paraId="438088E3">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b w:val="0"/>
                <w:bCs w:val="0"/>
                <w:color w:val="auto"/>
                <w:kern w:val="18"/>
                <w:sz w:val="21"/>
                <w:szCs w:val="21"/>
                <w:highlight w:val="none"/>
                <w:lang w:val="en-US" w:eastAsia="zh-CN" w:bidi="ar-SA"/>
              </w:rPr>
            </w:pPr>
            <w:r>
              <w:rPr>
                <w:color w:val="auto"/>
              </w:rPr>
              <w:t>合格</w:t>
            </w:r>
          </w:p>
        </w:tc>
      </w:tr>
      <w:tr w14:paraId="195E1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 w:hRule="atLeast"/>
        </w:trPr>
        <w:tc>
          <w:tcPr>
            <w:tcW w:w="235" w:type="pct"/>
            <w:noWrap w:val="0"/>
            <w:vAlign w:val="center"/>
          </w:tcPr>
          <w:p w14:paraId="6E13B14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7</w:t>
            </w:r>
          </w:p>
        </w:tc>
        <w:tc>
          <w:tcPr>
            <w:tcW w:w="2536" w:type="pct"/>
            <w:noWrap w:val="0"/>
            <w:vAlign w:val="center"/>
          </w:tcPr>
          <w:p w14:paraId="1FA744D8">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hint="default" w:ascii="Times New Roman" w:hAnsi="Times New Roman" w:eastAsia="宋体" w:cs="Times New Roman"/>
                <w:color w:val="auto"/>
                <w:kern w:val="18"/>
                <w:sz w:val="21"/>
                <w:szCs w:val="21"/>
                <w:highlight w:val="none"/>
                <w:lang w:val="en-US" w:eastAsia="zh-CN" w:bidi="ar-SA"/>
              </w:rPr>
            </w:pPr>
            <w:r>
              <w:rPr>
                <w:color w:val="auto"/>
              </w:rPr>
              <w:t>加油站内爆炸危险区域以外的照明灯具可选用非防爆型。罩棚下处于非爆炸危险区域的灯具应选用防护等级不低于IP44级的照明灯具。</w:t>
            </w:r>
          </w:p>
        </w:tc>
        <w:tc>
          <w:tcPr>
            <w:tcW w:w="981" w:type="pct"/>
            <w:noWrap w:val="0"/>
            <w:vAlign w:val="center"/>
          </w:tcPr>
          <w:p w14:paraId="008EB19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767C651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3.1.8</w:t>
            </w:r>
            <w:r>
              <w:rPr>
                <w:rFonts w:hint="eastAsia" w:ascii="Times New Roman" w:hAnsi="Times New Roman" w:eastAsia="宋体" w:cs="Times New Roman"/>
                <w:color w:val="auto"/>
                <w:kern w:val="18"/>
                <w:sz w:val="21"/>
                <w:szCs w:val="21"/>
                <w:highlight w:val="none"/>
                <w:lang w:val="en-US" w:eastAsia="zh-CN" w:bidi="ar-SA"/>
              </w:rPr>
              <w:t>条</w:t>
            </w:r>
          </w:p>
        </w:tc>
        <w:tc>
          <w:tcPr>
            <w:tcW w:w="883" w:type="pct"/>
            <w:noWrap w:val="0"/>
            <w:vAlign w:val="center"/>
          </w:tcPr>
          <w:p w14:paraId="772F96C5">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hint="default" w:ascii="Times New Roman" w:hAnsi="Times New Roman" w:eastAsia="宋体" w:cs="Times New Roman"/>
                <w:b w:val="0"/>
                <w:bCs w:val="0"/>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柴油不涉及爆炸危险区域。</w:t>
            </w:r>
          </w:p>
        </w:tc>
        <w:tc>
          <w:tcPr>
            <w:tcW w:w="362" w:type="pct"/>
            <w:noWrap w:val="0"/>
            <w:vAlign w:val="center"/>
          </w:tcPr>
          <w:p w14:paraId="26FF3CBB">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b w:val="0"/>
                <w:bCs w:val="0"/>
                <w:color w:val="auto"/>
                <w:kern w:val="18"/>
                <w:sz w:val="21"/>
                <w:szCs w:val="21"/>
                <w:highlight w:val="none"/>
                <w:lang w:val="en-US" w:eastAsia="zh-CN" w:bidi="ar-SA"/>
              </w:rPr>
            </w:pPr>
            <w:r>
              <w:rPr>
                <w:color w:val="auto"/>
              </w:rPr>
              <w:t>合格</w:t>
            </w:r>
          </w:p>
        </w:tc>
      </w:tr>
      <w:tr w14:paraId="11C14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5000" w:type="pct"/>
            <w:gridSpan w:val="5"/>
            <w:noWrap w:val="0"/>
            <w:vAlign w:val="center"/>
          </w:tcPr>
          <w:p w14:paraId="261A7F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防雷、防静电</w:t>
            </w:r>
          </w:p>
        </w:tc>
      </w:tr>
      <w:tr w14:paraId="5DA03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8" w:hRule="atLeast"/>
        </w:trPr>
        <w:tc>
          <w:tcPr>
            <w:tcW w:w="235" w:type="pct"/>
            <w:noWrap w:val="0"/>
            <w:vAlign w:val="center"/>
          </w:tcPr>
          <w:p w14:paraId="52C3C4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1</w:t>
            </w:r>
          </w:p>
        </w:tc>
        <w:tc>
          <w:tcPr>
            <w:tcW w:w="2536" w:type="pct"/>
            <w:noWrap w:val="0"/>
            <w:vAlign w:val="center"/>
          </w:tcPr>
          <w:p w14:paraId="7287DF30">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钢制油罐、LPG储罐、LNG储罐、CNG储气瓶（组）、储氢容器和液氢储罐必须进行防雷接地，接地点不应少于两处。CNG和氢气的长管拖车或管束式集装箱停放场地、卸车点车辆停放场地应设两处</w:t>
            </w:r>
            <w:r>
              <w:rPr>
                <w:rFonts w:hint="eastAsia"/>
                <w:color w:val="auto"/>
                <w:lang w:eastAsia="zh-CN"/>
              </w:rPr>
              <w:t>临时</w:t>
            </w:r>
            <w:r>
              <w:rPr>
                <w:color w:val="auto"/>
              </w:rPr>
              <w:t>固定防雷接地装置。</w:t>
            </w:r>
          </w:p>
        </w:tc>
        <w:tc>
          <w:tcPr>
            <w:tcW w:w="981" w:type="pct"/>
            <w:noWrap w:val="0"/>
            <w:vAlign w:val="center"/>
          </w:tcPr>
          <w:p w14:paraId="5F8E954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240B825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3.2.1</w:t>
            </w:r>
            <w:r>
              <w:rPr>
                <w:rFonts w:hint="eastAsia" w:ascii="Times New Roman" w:hAnsi="Times New Roman" w:eastAsia="宋体" w:cs="Times New Roman"/>
                <w:color w:val="auto"/>
                <w:kern w:val="18"/>
                <w:sz w:val="21"/>
                <w:szCs w:val="21"/>
                <w:highlight w:val="none"/>
                <w:lang w:val="en-US" w:eastAsia="zh-CN" w:bidi="ar-SA"/>
              </w:rPr>
              <w:t>条</w:t>
            </w:r>
          </w:p>
        </w:tc>
        <w:tc>
          <w:tcPr>
            <w:tcW w:w="883" w:type="pct"/>
            <w:noWrap w:val="0"/>
            <w:vAlign w:val="center"/>
          </w:tcPr>
          <w:p w14:paraId="248C91F1">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rFonts w:hint="eastAsia"/>
                <w:color w:val="auto"/>
                <w:lang w:val="en-US" w:eastAsia="zh-CN"/>
              </w:rPr>
              <w:t>四</w:t>
            </w:r>
            <w:r>
              <w:rPr>
                <w:color w:val="auto"/>
              </w:rPr>
              <w:t>处接地</w:t>
            </w:r>
          </w:p>
        </w:tc>
        <w:tc>
          <w:tcPr>
            <w:tcW w:w="362" w:type="pct"/>
            <w:noWrap w:val="0"/>
            <w:vAlign w:val="center"/>
          </w:tcPr>
          <w:p w14:paraId="1AB4F53B">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color w:val="auto"/>
              </w:rPr>
              <w:t>合格</w:t>
            </w:r>
          </w:p>
        </w:tc>
      </w:tr>
      <w:tr w14:paraId="24C2F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35" w:type="pct"/>
            <w:noWrap w:val="0"/>
            <w:vAlign w:val="center"/>
          </w:tcPr>
          <w:p w14:paraId="0874D51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2</w:t>
            </w:r>
          </w:p>
        </w:tc>
        <w:tc>
          <w:tcPr>
            <w:tcW w:w="2536" w:type="pct"/>
            <w:noWrap w:val="0"/>
            <w:vAlign w:val="center"/>
          </w:tcPr>
          <w:p w14:paraId="2E5583BF">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汽车加油加气加氢站的防雷接地、防静电接地、电气设备的工作接地、保护接地及信息系统的接地等宜共用接地装置，接地电阻不应大于4Ω。</w:t>
            </w:r>
          </w:p>
        </w:tc>
        <w:tc>
          <w:tcPr>
            <w:tcW w:w="981" w:type="pct"/>
            <w:noWrap w:val="0"/>
            <w:vAlign w:val="center"/>
          </w:tcPr>
          <w:p w14:paraId="4D97F0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6504DBF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3.2.2</w:t>
            </w:r>
            <w:r>
              <w:rPr>
                <w:rFonts w:hint="eastAsia" w:ascii="Times New Roman" w:hAnsi="Times New Roman" w:eastAsia="宋体" w:cs="Times New Roman"/>
                <w:color w:val="auto"/>
                <w:kern w:val="18"/>
                <w:sz w:val="21"/>
                <w:szCs w:val="21"/>
                <w:highlight w:val="none"/>
                <w:lang w:val="en-US" w:eastAsia="zh-CN" w:bidi="ar-SA"/>
              </w:rPr>
              <w:t>条</w:t>
            </w:r>
          </w:p>
        </w:tc>
        <w:tc>
          <w:tcPr>
            <w:tcW w:w="883" w:type="pct"/>
            <w:noWrap w:val="0"/>
            <w:vAlign w:val="center"/>
          </w:tcPr>
          <w:p w14:paraId="03074DF1">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hint="default" w:ascii="Times New Roman" w:hAnsi="Times New Roman" w:eastAsia="宋体" w:cs="Times New Roman"/>
                <w:color w:val="auto"/>
                <w:kern w:val="18"/>
                <w:sz w:val="21"/>
                <w:szCs w:val="21"/>
                <w:highlight w:val="none"/>
                <w:lang w:val="en-US" w:eastAsia="zh-CN" w:bidi="ar-SA"/>
              </w:rPr>
            </w:pPr>
            <w:r>
              <w:rPr>
                <w:color w:val="auto"/>
              </w:rPr>
              <w:t>防雷接地、防静电接地、保护接地及信息系统的接地等，采用共用接地装置。</w:t>
            </w:r>
            <w:r>
              <w:rPr>
                <w:rFonts w:hint="eastAsia"/>
                <w:color w:val="auto"/>
                <w:lang w:val="en-US" w:eastAsia="zh-CN"/>
              </w:rPr>
              <w:t>已完成防雷检测。</w:t>
            </w:r>
          </w:p>
        </w:tc>
        <w:tc>
          <w:tcPr>
            <w:tcW w:w="362" w:type="pct"/>
            <w:noWrap w:val="0"/>
            <w:vAlign w:val="center"/>
          </w:tcPr>
          <w:p w14:paraId="34CA0699">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color w:val="auto"/>
              </w:rPr>
              <w:t>合格</w:t>
            </w:r>
          </w:p>
        </w:tc>
      </w:tr>
      <w:tr w14:paraId="73F3E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35" w:type="pct"/>
            <w:noWrap w:val="0"/>
            <w:vAlign w:val="center"/>
          </w:tcPr>
          <w:p w14:paraId="41BC0E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3</w:t>
            </w:r>
          </w:p>
        </w:tc>
        <w:tc>
          <w:tcPr>
            <w:tcW w:w="2536" w:type="pct"/>
            <w:noWrap w:val="0"/>
            <w:vAlign w:val="center"/>
          </w:tcPr>
          <w:p w14:paraId="40C1B408">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left"/>
              <w:textAlignment w:val="auto"/>
              <w:rPr>
                <w:color w:val="auto"/>
              </w:rPr>
            </w:pPr>
            <w:r>
              <w:rPr>
                <w:color w:val="auto"/>
              </w:rPr>
              <w:t>当LPG储罐的阴极防腐</w:t>
            </w:r>
            <w:r>
              <w:rPr>
                <w:rFonts w:hint="eastAsia"/>
                <w:color w:val="auto"/>
                <w:lang w:eastAsia="zh-CN"/>
              </w:rPr>
              <w:t>符</w:t>
            </w:r>
            <w:r>
              <w:rPr>
                <w:color w:val="auto"/>
              </w:rPr>
              <w:t>合下列规定时，可不另设防雷和防静电接地装置：</w:t>
            </w:r>
          </w:p>
          <w:p w14:paraId="7A382528">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left"/>
              <w:textAlignment w:val="auto"/>
              <w:rPr>
                <w:color w:val="auto"/>
              </w:rPr>
            </w:pPr>
            <w:r>
              <w:rPr>
                <w:color w:val="auto"/>
              </w:rPr>
              <w:t>（1）LPG储罐采用牺牲相极法进行阴极防护时，牺牲阳极的接地电阻不应大于10g，阳极与储罐的铜芯连线横截面不应小于16mm</w:t>
            </w:r>
            <w:r>
              <w:rPr>
                <w:color w:val="auto"/>
                <w:vertAlign w:val="superscript"/>
              </w:rPr>
              <w:t>2</w:t>
            </w:r>
            <w:r>
              <w:rPr>
                <w:color w:val="auto"/>
              </w:rPr>
              <w:t>；</w:t>
            </w:r>
          </w:p>
          <w:p w14:paraId="3E501FA7">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（2）LPG储罐采用强制电流法进行阴极防护时，接地电极应采用锌棒或镁锌复合棒，其接地电阻不应大于10Ω，接地电极与储罐的铜芯连线横截面不应小于16mm</w:t>
            </w:r>
            <w:r>
              <w:rPr>
                <w:color w:val="auto"/>
                <w:vertAlign w:val="superscript"/>
              </w:rPr>
              <w:t>2</w:t>
            </w:r>
            <w:r>
              <w:rPr>
                <w:color w:val="auto"/>
              </w:rPr>
              <w:t>。</w:t>
            </w:r>
          </w:p>
        </w:tc>
        <w:tc>
          <w:tcPr>
            <w:tcW w:w="981" w:type="pct"/>
            <w:noWrap w:val="0"/>
            <w:vAlign w:val="center"/>
          </w:tcPr>
          <w:p w14:paraId="3455166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6FC09EC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3.2.3</w:t>
            </w:r>
            <w:r>
              <w:rPr>
                <w:rFonts w:hint="eastAsia" w:ascii="Times New Roman" w:hAnsi="Times New Roman" w:eastAsia="宋体" w:cs="Times New Roman"/>
                <w:color w:val="auto"/>
                <w:kern w:val="18"/>
                <w:sz w:val="21"/>
                <w:szCs w:val="21"/>
                <w:highlight w:val="none"/>
                <w:lang w:val="en-US" w:eastAsia="zh-CN" w:bidi="ar-SA"/>
              </w:rPr>
              <w:t>条</w:t>
            </w:r>
          </w:p>
        </w:tc>
        <w:tc>
          <w:tcPr>
            <w:tcW w:w="883" w:type="pct"/>
            <w:noWrap w:val="0"/>
            <w:vAlign w:val="center"/>
          </w:tcPr>
          <w:p w14:paraId="235874CB">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color w:val="auto"/>
              </w:rPr>
              <w:t>/</w:t>
            </w:r>
          </w:p>
        </w:tc>
        <w:tc>
          <w:tcPr>
            <w:tcW w:w="362" w:type="pct"/>
            <w:noWrap w:val="0"/>
            <w:vAlign w:val="center"/>
          </w:tcPr>
          <w:p w14:paraId="369EA284">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color w:val="auto"/>
              </w:rPr>
              <w:t>/</w:t>
            </w:r>
          </w:p>
        </w:tc>
      </w:tr>
      <w:tr w14:paraId="4AFF6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35" w:type="pct"/>
            <w:noWrap w:val="0"/>
            <w:vAlign w:val="center"/>
          </w:tcPr>
          <w:p w14:paraId="6B20E45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4</w:t>
            </w:r>
          </w:p>
        </w:tc>
        <w:tc>
          <w:tcPr>
            <w:tcW w:w="2536" w:type="pct"/>
            <w:noWrap w:val="0"/>
            <w:vAlign w:val="center"/>
          </w:tcPr>
          <w:p w14:paraId="530724AB">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埋地钢制油罐、埋地LPG储罐以及非金属油罐顶部的金属部件和罐内的各金属部件，必须与非埋地部分的工艺金属管道相互做电气连接并接地。</w:t>
            </w:r>
          </w:p>
        </w:tc>
        <w:tc>
          <w:tcPr>
            <w:tcW w:w="981" w:type="pct"/>
            <w:noWrap w:val="0"/>
            <w:vAlign w:val="center"/>
          </w:tcPr>
          <w:p w14:paraId="37F346E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33DE14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3.2.4</w:t>
            </w:r>
            <w:r>
              <w:rPr>
                <w:rFonts w:hint="eastAsia" w:ascii="Times New Roman" w:hAnsi="Times New Roman" w:eastAsia="宋体" w:cs="Times New Roman"/>
                <w:color w:val="auto"/>
                <w:kern w:val="18"/>
                <w:sz w:val="21"/>
                <w:szCs w:val="21"/>
                <w:highlight w:val="none"/>
                <w:lang w:val="en-US" w:eastAsia="zh-CN" w:bidi="ar-SA"/>
              </w:rPr>
              <w:t>条</w:t>
            </w:r>
          </w:p>
        </w:tc>
        <w:tc>
          <w:tcPr>
            <w:tcW w:w="883" w:type="pct"/>
            <w:noWrap w:val="0"/>
            <w:vAlign w:val="center"/>
          </w:tcPr>
          <w:p w14:paraId="682A9D5C">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rFonts w:hint="eastAsia"/>
                <w:color w:val="auto"/>
                <w:lang w:val="en-US" w:eastAsia="zh-CN"/>
              </w:rPr>
              <w:t>采用地上油罐</w:t>
            </w:r>
          </w:p>
        </w:tc>
        <w:tc>
          <w:tcPr>
            <w:tcW w:w="362" w:type="pct"/>
            <w:noWrap w:val="0"/>
            <w:vAlign w:val="center"/>
          </w:tcPr>
          <w:p w14:paraId="45A1B131">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rFonts w:hint="eastAsia"/>
                <w:color w:val="auto"/>
                <w:lang w:val="en-US" w:eastAsia="zh-CN"/>
              </w:rPr>
              <w:t>/</w:t>
            </w:r>
          </w:p>
        </w:tc>
      </w:tr>
      <w:tr w14:paraId="0E630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94" w:hRule="atLeast"/>
        </w:trPr>
        <w:tc>
          <w:tcPr>
            <w:tcW w:w="235" w:type="pct"/>
            <w:noWrap w:val="0"/>
            <w:vAlign w:val="center"/>
          </w:tcPr>
          <w:p w14:paraId="088741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5</w:t>
            </w:r>
          </w:p>
        </w:tc>
        <w:tc>
          <w:tcPr>
            <w:tcW w:w="2536" w:type="pct"/>
            <w:noWrap w:val="0"/>
            <w:vAlign w:val="center"/>
          </w:tcPr>
          <w:p w14:paraId="1840CFF7">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汽车加油加气加氢站内油气放散管在接入全站共用接地装置后，可不单独做防雷接地。</w:t>
            </w:r>
          </w:p>
        </w:tc>
        <w:tc>
          <w:tcPr>
            <w:tcW w:w="981" w:type="pct"/>
            <w:noWrap w:val="0"/>
            <w:vAlign w:val="center"/>
          </w:tcPr>
          <w:p w14:paraId="1C2692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0B3998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3.2.5</w:t>
            </w:r>
            <w:r>
              <w:rPr>
                <w:rFonts w:hint="eastAsia" w:ascii="Times New Roman" w:hAnsi="Times New Roman" w:eastAsia="宋体" w:cs="Times New Roman"/>
                <w:color w:val="auto"/>
                <w:kern w:val="18"/>
                <w:sz w:val="21"/>
                <w:szCs w:val="21"/>
                <w:highlight w:val="none"/>
                <w:lang w:val="en-US" w:eastAsia="zh-CN" w:bidi="ar-SA"/>
              </w:rPr>
              <w:t>条</w:t>
            </w:r>
          </w:p>
        </w:tc>
        <w:tc>
          <w:tcPr>
            <w:tcW w:w="883" w:type="pct"/>
            <w:noWrap w:val="0"/>
            <w:vAlign w:val="center"/>
          </w:tcPr>
          <w:p w14:paraId="15ACC562">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color w:val="auto"/>
              </w:rPr>
              <w:t>该站的放散管接入共用接地装置，不单独做防雷接地。</w:t>
            </w:r>
          </w:p>
        </w:tc>
        <w:tc>
          <w:tcPr>
            <w:tcW w:w="362" w:type="pct"/>
            <w:noWrap w:val="0"/>
            <w:vAlign w:val="center"/>
          </w:tcPr>
          <w:p w14:paraId="1170A8CF">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color w:val="auto"/>
              </w:rPr>
              <w:t>合格</w:t>
            </w:r>
          </w:p>
        </w:tc>
      </w:tr>
      <w:tr w14:paraId="22474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9" w:hRule="atLeast"/>
        </w:trPr>
        <w:tc>
          <w:tcPr>
            <w:tcW w:w="235" w:type="pct"/>
            <w:noWrap w:val="0"/>
            <w:vAlign w:val="center"/>
          </w:tcPr>
          <w:p w14:paraId="735EC4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6</w:t>
            </w:r>
          </w:p>
        </w:tc>
        <w:tc>
          <w:tcPr>
            <w:tcW w:w="2536" w:type="pct"/>
            <w:noWrap w:val="0"/>
            <w:vAlign w:val="center"/>
          </w:tcPr>
          <w:p w14:paraId="7C89DE3B">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汽车加油加气加氢站的信息系统应采用铠装电缆或导线穿钢管配线。配线电缆铠装金属层两端、保护钢管两端均应接地。</w:t>
            </w:r>
          </w:p>
        </w:tc>
        <w:tc>
          <w:tcPr>
            <w:tcW w:w="981" w:type="pct"/>
            <w:noWrap w:val="0"/>
            <w:vAlign w:val="center"/>
          </w:tcPr>
          <w:p w14:paraId="5673CAB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67847E7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3.2.7</w:t>
            </w:r>
            <w:r>
              <w:rPr>
                <w:rFonts w:hint="eastAsia" w:ascii="Times New Roman" w:hAnsi="Times New Roman" w:eastAsia="宋体" w:cs="Times New Roman"/>
                <w:color w:val="auto"/>
                <w:kern w:val="18"/>
                <w:sz w:val="21"/>
                <w:szCs w:val="21"/>
                <w:highlight w:val="none"/>
                <w:lang w:val="en-US" w:eastAsia="zh-CN" w:bidi="ar-SA"/>
              </w:rPr>
              <w:t>条</w:t>
            </w:r>
          </w:p>
        </w:tc>
        <w:tc>
          <w:tcPr>
            <w:tcW w:w="883" w:type="pct"/>
            <w:noWrap w:val="0"/>
            <w:vAlign w:val="center"/>
          </w:tcPr>
          <w:p w14:paraId="0B295A55">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color w:val="auto"/>
              </w:rPr>
              <w:t>加油站的信息系统采用导线穿钢管配线。</w:t>
            </w:r>
          </w:p>
        </w:tc>
        <w:tc>
          <w:tcPr>
            <w:tcW w:w="362" w:type="pct"/>
            <w:noWrap w:val="0"/>
            <w:vAlign w:val="center"/>
          </w:tcPr>
          <w:p w14:paraId="7B727156">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color w:val="auto"/>
              </w:rPr>
              <w:t>合格</w:t>
            </w:r>
          </w:p>
        </w:tc>
      </w:tr>
      <w:tr w14:paraId="21130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35" w:type="pct"/>
            <w:noWrap w:val="0"/>
            <w:vAlign w:val="center"/>
          </w:tcPr>
          <w:p w14:paraId="7FBD55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7</w:t>
            </w:r>
          </w:p>
        </w:tc>
        <w:tc>
          <w:tcPr>
            <w:tcW w:w="2536" w:type="pct"/>
            <w:noWrap w:val="0"/>
            <w:vAlign w:val="center"/>
          </w:tcPr>
          <w:p w14:paraId="0473B9EC">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汽车加油加气加氢站信息系统的配电线路首、末端与电子器件连接时，应装设与电子器件耐压水平相适应的过电压（电涌）保护器。</w:t>
            </w:r>
          </w:p>
        </w:tc>
        <w:tc>
          <w:tcPr>
            <w:tcW w:w="981" w:type="pct"/>
            <w:noWrap w:val="0"/>
            <w:vAlign w:val="center"/>
          </w:tcPr>
          <w:p w14:paraId="489D729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5F9DAB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3.2.8</w:t>
            </w:r>
            <w:r>
              <w:rPr>
                <w:rFonts w:hint="eastAsia" w:ascii="Times New Roman" w:hAnsi="Times New Roman" w:eastAsia="宋体" w:cs="Times New Roman"/>
                <w:color w:val="auto"/>
                <w:kern w:val="18"/>
                <w:sz w:val="21"/>
                <w:szCs w:val="21"/>
                <w:highlight w:val="none"/>
                <w:lang w:val="en-US" w:eastAsia="zh-CN" w:bidi="ar-SA"/>
              </w:rPr>
              <w:t>条</w:t>
            </w:r>
          </w:p>
        </w:tc>
        <w:tc>
          <w:tcPr>
            <w:tcW w:w="883" w:type="pct"/>
            <w:noWrap w:val="0"/>
            <w:vAlign w:val="center"/>
          </w:tcPr>
          <w:p w14:paraId="327656D1">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color w:val="auto"/>
              </w:rPr>
              <w:t>加油站信息系统装有电压保护器。</w:t>
            </w:r>
          </w:p>
        </w:tc>
        <w:tc>
          <w:tcPr>
            <w:tcW w:w="362" w:type="pct"/>
            <w:noWrap w:val="0"/>
            <w:vAlign w:val="center"/>
          </w:tcPr>
          <w:p w14:paraId="2E5EA816">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color w:val="auto"/>
              </w:rPr>
              <w:t>合格</w:t>
            </w:r>
          </w:p>
        </w:tc>
      </w:tr>
      <w:tr w14:paraId="1C6A9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35" w:type="pct"/>
            <w:noWrap w:val="0"/>
            <w:vAlign w:val="center"/>
          </w:tcPr>
          <w:p w14:paraId="3780D96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8</w:t>
            </w:r>
          </w:p>
        </w:tc>
        <w:tc>
          <w:tcPr>
            <w:tcW w:w="2536" w:type="pct"/>
            <w:noWrap w:val="0"/>
            <w:vAlign w:val="center"/>
          </w:tcPr>
          <w:p w14:paraId="28F031FA">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380/220V供配电系统宜采用TN-S系统，当外供电源为380V时，可采用TN-C-S系统。供电系统的电缆金属外皮或电缆金属保护管两端均应接地，在供配电系统的电源端应安装与设备耐压水平相适应的过电压（电涌）保护器。</w:t>
            </w:r>
          </w:p>
        </w:tc>
        <w:tc>
          <w:tcPr>
            <w:tcW w:w="981" w:type="pct"/>
            <w:noWrap w:val="0"/>
            <w:vAlign w:val="center"/>
          </w:tcPr>
          <w:p w14:paraId="1B64971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287793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3.2.9</w:t>
            </w:r>
            <w:r>
              <w:rPr>
                <w:rFonts w:hint="eastAsia" w:ascii="Times New Roman" w:hAnsi="Times New Roman" w:eastAsia="宋体" w:cs="Times New Roman"/>
                <w:color w:val="auto"/>
                <w:kern w:val="18"/>
                <w:sz w:val="21"/>
                <w:szCs w:val="21"/>
                <w:highlight w:val="none"/>
                <w:lang w:val="en-US" w:eastAsia="zh-CN" w:bidi="ar-SA"/>
              </w:rPr>
              <w:t>条</w:t>
            </w:r>
          </w:p>
        </w:tc>
        <w:tc>
          <w:tcPr>
            <w:tcW w:w="883" w:type="pct"/>
            <w:noWrap w:val="0"/>
            <w:vAlign w:val="center"/>
          </w:tcPr>
          <w:p w14:paraId="62693A51">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color w:val="auto"/>
              </w:rPr>
              <w:t>已安装过电压（电涌）保护器。</w:t>
            </w:r>
          </w:p>
        </w:tc>
        <w:tc>
          <w:tcPr>
            <w:tcW w:w="362" w:type="pct"/>
            <w:noWrap w:val="0"/>
            <w:vAlign w:val="center"/>
          </w:tcPr>
          <w:p w14:paraId="588A3D72">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color w:val="auto"/>
              </w:rPr>
              <w:t>合格</w:t>
            </w:r>
          </w:p>
        </w:tc>
      </w:tr>
      <w:tr w14:paraId="1F72C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35" w:type="pct"/>
            <w:noWrap w:val="0"/>
            <w:vAlign w:val="center"/>
          </w:tcPr>
          <w:p w14:paraId="1E963FB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9</w:t>
            </w:r>
          </w:p>
        </w:tc>
        <w:tc>
          <w:tcPr>
            <w:tcW w:w="2536" w:type="pct"/>
            <w:noWrap w:val="0"/>
            <w:vAlign w:val="center"/>
          </w:tcPr>
          <w:p w14:paraId="4BE3F55D">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地上或管沟敷设的油品管道、LPG管道、LNG管道、CNG管道、氢气管道和液氢管道应设防静电和防感应雷的共用接地装置，接地电阻不应大于30Ω。</w:t>
            </w:r>
          </w:p>
        </w:tc>
        <w:tc>
          <w:tcPr>
            <w:tcW w:w="981" w:type="pct"/>
            <w:noWrap w:val="0"/>
            <w:vAlign w:val="center"/>
          </w:tcPr>
          <w:p w14:paraId="16D799E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482177D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3.2.10</w:t>
            </w:r>
            <w:r>
              <w:rPr>
                <w:rFonts w:hint="eastAsia" w:ascii="Times New Roman" w:hAnsi="Times New Roman" w:eastAsia="宋体" w:cs="Times New Roman"/>
                <w:color w:val="auto"/>
                <w:kern w:val="18"/>
                <w:sz w:val="21"/>
                <w:szCs w:val="21"/>
                <w:highlight w:val="none"/>
                <w:lang w:val="en-US" w:eastAsia="zh-CN" w:bidi="ar-SA"/>
              </w:rPr>
              <w:t>条</w:t>
            </w:r>
          </w:p>
        </w:tc>
        <w:tc>
          <w:tcPr>
            <w:tcW w:w="883" w:type="pct"/>
            <w:noWrap w:val="0"/>
            <w:vAlign w:val="center"/>
          </w:tcPr>
          <w:p w14:paraId="3E6FCBFB">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color w:val="auto"/>
              </w:rPr>
              <w:t>该站的油品管道设防静电和防感应雷的联合接地装置。</w:t>
            </w:r>
          </w:p>
        </w:tc>
        <w:tc>
          <w:tcPr>
            <w:tcW w:w="362" w:type="pct"/>
            <w:noWrap w:val="0"/>
            <w:vAlign w:val="center"/>
          </w:tcPr>
          <w:p w14:paraId="155A5F35">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color w:val="auto"/>
              </w:rPr>
              <w:t>合格</w:t>
            </w:r>
          </w:p>
        </w:tc>
      </w:tr>
      <w:tr w14:paraId="35768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35" w:type="pct"/>
            <w:noWrap w:val="0"/>
            <w:vAlign w:val="center"/>
          </w:tcPr>
          <w:p w14:paraId="3DA5C3A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10</w:t>
            </w:r>
          </w:p>
        </w:tc>
        <w:tc>
          <w:tcPr>
            <w:tcW w:w="2536" w:type="pct"/>
            <w:noWrap w:val="0"/>
            <w:vAlign w:val="center"/>
          </w:tcPr>
          <w:p w14:paraId="5BA604B0">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加油加气加氢站的汽油罐车、LPG罐车、LNG罐车和液氢罐车卸车场地应设卸车或卸气临时用的防静电接地装置，并应设置能检测跨接线及监视接地装置状态的静电接地仪。</w:t>
            </w:r>
          </w:p>
        </w:tc>
        <w:tc>
          <w:tcPr>
            <w:tcW w:w="981" w:type="pct"/>
            <w:noWrap w:val="0"/>
            <w:vAlign w:val="center"/>
          </w:tcPr>
          <w:p w14:paraId="1E2F2DA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405657C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3.2.11</w:t>
            </w:r>
            <w:r>
              <w:rPr>
                <w:rFonts w:hint="eastAsia" w:ascii="Times New Roman" w:hAnsi="Times New Roman" w:eastAsia="宋体" w:cs="Times New Roman"/>
                <w:color w:val="auto"/>
                <w:kern w:val="18"/>
                <w:sz w:val="21"/>
                <w:szCs w:val="21"/>
                <w:highlight w:val="none"/>
                <w:lang w:val="en-US" w:eastAsia="zh-CN" w:bidi="ar-SA"/>
              </w:rPr>
              <w:t>条</w:t>
            </w:r>
          </w:p>
        </w:tc>
        <w:tc>
          <w:tcPr>
            <w:tcW w:w="883" w:type="pct"/>
            <w:noWrap w:val="0"/>
            <w:vAlign w:val="center"/>
          </w:tcPr>
          <w:p w14:paraId="13EFA933">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rFonts w:hint="eastAsia"/>
                <w:color w:val="auto"/>
                <w:lang w:val="en-US" w:eastAsia="zh-CN"/>
              </w:rPr>
              <w:t>装置卸油处</w:t>
            </w:r>
            <w:r>
              <w:rPr>
                <w:color w:val="auto"/>
              </w:rPr>
              <w:t>安装了静电夹。</w:t>
            </w:r>
          </w:p>
        </w:tc>
        <w:tc>
          <w:tcPr>
            <w:tcW w:w="362" w:type="pct"/>
            <w:noWrap w:val="0"/>
            <w:vAlign w:val="center"/>
          </w:tcPr>
          <w:p w14:paraId="70F1FF26">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color w:val="auto"/>
              </w:rPr>
              <w:t>合格</w:t>
            </w:r>
          </w:p>
        </w:tc>
      </w:tr>
      <w:tr w14:paraId="1CD9E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35" w:type="pct"/>
            <w:noWrap w:val="0"/>
            <w:vAlign w:val="center"/>
          </w:tcPr>
          <w:p w14:paraId="4D1543C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11</w:t>
            </w:r>
          </w:p>
        </w:tc>
        <w:tc>
          <w:tcPr>
            <w:tcW w:w="2536" w:type="pct"/>
            <w:noWrap w:val="0"/>
            <w:vAlign w:val="center"/>
          </w:tcPr>
          <w:p w14:paraId="35331778">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在爆炸危险区域内工艺管道上的法兰、胶管两端等连接处，应用金属线跨接。当法兰的连接螺栓不少于5根时，在非腐蚀环境下可不跨接。</w:t>
            </w:r>
          </w:p>
        </w:tc>
        <w:tc>
          <w:tcPr>
            <w:tcW w:w="981" w:type="pct"/>
            <w:noWrap w:val="0"/>
            <w:vAlign w:val="center"/>
          </w:tcPr>
          <w:p w14:paraId="0F82236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0425DA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3.2.12</w:t>
            </w:r>
            <w:r>
              <w:rPr>
                <w:rFonts w:hint="eastAsia" w:ascii="Times New Roman" w:hAnsi="Times New Roman" w:eastAsia="宋体" w:cs="Times New Roman"/>
                <w:color w:val="auto"/>
                <w:kern w:val="18"/>
                <w:sz w:val="21"/>
                <w:szCs w:val="21"/>
                <w:highlight w:val="none"/>
                <w:lang w:val="en-US" w:eastAsia="zh-CN" w:bidi="ar-SA"/>
              </w:rPr>
              <w:t>条</w:t>
            </w:r>
          </w:p>
        </w:tc>
        <w:tc>
          <w:tcPr>
            <w:tcW w:w="883" w:type="pct"/>
            <w:noWrap w:val="0"/>
            <w:vAlign w:val="center"/>
          </w:tcPr>
          <w:p w14:paraId="6A1ADD2C">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color w:val="auto"/>
              </w:rPr>
              <w:t>该站工艺管道上的法兰、胶管等连接处应用金属线跨接。</w:t>
            </w:r>
          </w:p>
        </w:tc>
        <w:tc>
          <w:tcPr>
            <w:tcW w:w="362" w:type="pct"/>
            <w:noWrap w:val="0"/>
            <w:vAlign w:val="center"/>
          </w:tcPr>
          <w:p w14:paraId="012E1352">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color w:val="auto"/>
              </w:rPr>
              <w:t>合格</w:t>
            </w:r>
          </w:p>
        </w:tc>
      </w:tr>
      <w:tr w14:paraId="5177D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35" w:type="pct"/>
            <w:noWrap w:val="0"/>
            <w:vAlign w:val="center"/>
          </w:tcPr>
          <w:p w14:paraId="621069C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12</w:t>
            </w:r>
          </w:p>
        </w:tc>
        <w:tc>
          <w:tcPr>
            <w:tcW w:w="2536" w:type="pct"/>
            <w:noWrap w:val="0"/>
            <w:vAlign w:val="center"/>
          </w:tcPr>
          <w:p w14:paraId="40398F33">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油罐车卸油用的卸油软管、油气回收软管与两端接头，应保证可靠的电气连接。</w:t>
            </w:r>
          </w:p>
        </w:tc>
        <w:tc>
          <w:tcPr>
            <w:tcW w:w="981" w:type="pct"/>
            <w:noWrap w:val="0"/>
            <w:vAlign w:val="center"/>
          </w:tcPr>
          <w:p w14:paraId="2959C62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191C9AD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3.2.13</w:t>
            </w:r>
            <w:r>
              <w:rPr>
                <w:rFonts w:hint="eastAsia" w:ascii="Times New Roman" w:hAnsi="Times New Roman" w:eastAsia="宋体" w:cs="Times New Roman"/>
                <w:color w:val="auto"/>
                <w:kern w:val="18"/>
                <w:sz w:val="21"/>
                <w:szCs w:val="21"/>
                <w:highlight w:val="none"/>
                <w:lang w:val="en-US" w:eastAsia="zh-CN" w:bidi="ar-SA"/>
              </w:rPr>
              <w:t>条</w:t>
            </w:r>
          </w:p>
        </w:tc>
        <w:tc>
          <w:tcPr>
            <w:tcW w:w="883" w:type="pct"/>
            <w:noWrap w:val="0"/>
            <w:vAlign w:val="center"/>
          </w:tcPr>
          <w:p w14:paraId="062AE28C">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hint="eastAsia" w:ascii="Times New Roman" w:hAnsi="Times New Roman" w:eastAsia="宋体" w:cs="Times New Roman"/>
                <w:color w:val="auto"/>
                <w:kern w:val="18"/>
                <w:sz w:val="21"/>
                <w:szCs w:val="21"/>
                <w:highlight w:val="none"/>
                <w:lang w:val="en-US" w:eastAsia="zh-CN" w:bidi="ar-SA"/>
              </w:rPr>
            </w:pPr>
            <w:r>
              <w:rPr>
                <w:color w:val="auto"/>
              </w:rPr>
              <w:t>可靠</w:t>
            </w:r>
            <w:r>
              <w:rPr>
                <w:rFonts w:hint="eastAsia"/>
                <w:color w:val="auto"/>
                <w:lang w:val="en-US" w:eastAsia="zh-CN"/>
              </w:rPr>
              <w:t>连接</w:t>
            </w:r>
          </w:p>
        </w:tc>
        <w:tc>
          <w:tcPr>
            <w:tcW w:w="362" w:type="pct"/>
            <w:noWrap w:val="0"/>
            <w:vAlign w:val="center"/>
          </w:tcPr>
          <w:p w14:paraId="05D7EDD2">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color w:val="auto"/>
              </w:rPr>
              <w:t>合格</w:t>
            </w:r>
          </w:p>
        </w:tc>
      </w:tr>
      <w:tr w14:paraId="08525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35" w:type="pct"/>
            <w:noWrap w:val="0"/>
            <w:vAlign w:val="center"/>
          </w:tcPr>
          <w:p w14:paraId="45BE2E1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13</w:t>
            </w:r>
          </w:p>
        </w:tc>
        <w:tc>
          <w:tcPr>
            <w:tcW w:w="2536" w:type="pct"/>
            <w:noWrap w:val="0"/>
            <w:vAlign w:val="center"/>
          </w:tcPr>
          <w:p w14:paraId="688BFD4A">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采用导静电的热塑性塑料管道时，导电内衬应接地；采用不导静电的热塑性塑料管道时，不埋地部分的热熔连接件应保证长期可靠的接地，也可采用专用的密封帽将连接管件的电熔插孔密封，管道或接头的其他导电部件也应接地。</w:t>
            </w:r>
          </w:p>
        </w:tc>
        <w:tc>
          <w:tcPr>
            <w:tcW w:w="981" w:type="pct"/>
            <w:noWrap w:val="0"/>
            <w:vAlign w:val="center"/>
          </w:tcPr>
          <w:p w14:paraId="38BC8B8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71278AF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3.2.14</w:t>
            </w:r>
            <w:r>
              <w:rPr>
                <w:rFonts w:hint="eastAsia" w:ascii="Times New Roman" w:hAnsi="Times New Roman" w:eastAsia="宋体" w:cs="Times New Roman"/>
                <w:color w:val="auto"/>
                <w:kern w:val="18"/>
                <w:sz w:val="21"/>
                <w:szCs w:val="21"/>
                <w:highlight w:val="none"/>
                <w:lang w:val="en-US" w:eastAsia="zh-CN" w:bidi="ar-SA"/>
              </w:rPr>
              <w:t>条</w:t>
            </w:r>
          </w:p>
        </w:tc>
        <w:tc>
          <w:tcPr>
            <w:tcW w:w="883" w:type="pct"/>
            <w:noWrap w:val="0"/>
            <w:vAlign w:val="center"/>
          </w:tcPr>
          <w:p w14:paraId="535FF23A">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color w:val="auto"/>
              </w:rPr>
              <w:t>采用导静电热</w:t>
            </w:r>
            <w:r>
              <w:rPr>
                <w:rFonts w:hint="eastAsia"/>
                <w:color w:val="auto"/>
                <w:lang w:eastAsia="zh-CN"/>
              </w:rPr>
              <w:t>钢管道</w:t>
            </w:r>
            <w:r>
              <w:rPr>
                <w:color w:val="auto"/>
              </w:rPr>
              <w:t>并有</w:t>
            </w:r>
            <w:r>
              <w:rPr>
                <w:rFonts w:hint="eastAsia"/>
                <w:color w:val="auto"/>
                <w:lang w:eastAsia="zh-CN"/>
              </w:rPr>
              <w:t>内衬</w:t>
            </w:r>
            <w:r>
              <w:rPr>
                <w:color w:val="auto"/>
              </w:rPr>
              <w:t>接地</w:t>
            </w:r>
          </w:p>
        </w:tc>
        <w:tc>
          <w:tcPr>
            <w:tcW w:w="362" w:type="pct"/>
            <w:noWrap w:val="0"/>
            <w:vAlign w:val="center"/>
          </w:tcPr>
          <w:p w14:paraId="5B0AF6E8">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color w:val="auto"/>
              </w:rPr>
              <w:t>合格</w:t>
            </w:r>
          </w:p>
        </w:tc>
      </w:tr>
      <w:tr w14:paraId="3C92D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35" w:type="pct"/>
            <w:noWrap w:val="0"/>
            <w:vAlign w:val="center"/>
          </w:tcPr>
          <w:p w14:paraId="5EF63A6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14</w:t>
            </w:r>
          </w:p>
        </w:tc>
        <w:tc>
          <w:tcPr>
            <w:tcW w:w="2536" w:type="pct"/>
            <w:noWrap w:val="0"/>
            <w:vAlign w:val="center"/>
          </w:tcPr>
          <w:p w14:paraId="7F508A12">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防静电接地装置的接地电阻不应大于100Ω。</w:t>
            </w:r>
          </w:p>
        </w:tc>
        <w:tc>
          <w:tcPr>
            <w:tcW w:w="981" w:type="pct"/>
            <w:noWrap w:val="0"/>
            <w:vAlign w:val="center"/>
          </w:tcPr>
          <w:p w14:paraId="2235BA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6A11047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3.2.15</w:t>
            </w:r>
            <w:r>
              <w:rPr>
                <w:rFonts w:hint="eastAsia" w:ascii="Times New Roman" w:hAnsi="Times New Roman" w:eastAsia="宋体" w:cs="Times New Roman"/>
                <w:color w:val="auto"/>
                <w:kern w:val="18"/>
                <w:sz w:val="21"/>
                <w:szCs w:val="21"/>
                <w:highlight w:val="none"/>
                <w:lang w:val="en-US" w:eastAsia="zh-CN" w:bidi="ar-SA"/>
              </w:rPr>
              <w:t>条</w:t>
            </w:r>
          </w:p>
        </w:tc>
        <w:tc>
          <w:tcPr>
            <w:tcW w:w="883" w:type="pct"/>
            <w:noWrap w:val="0"/>
            <w:vAlign w:val="center"/>
          </w:tcPr>
          <w:p w14:paraId="409526CA">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color w:val="auto"/>
              </w:rPr>
              <w:t>符合要求</w:t>
            </w:r>
          </w:p>
        </w:tc>
        <w:tc>
          <w:tcPr>
            <w:tcW w:w="362" w:type="pct"/>
            <w:noWrap w:val="0"/>
            <w:vAlign w:val="center"/>
          </w:tcPr>
          <w:p w14:paraId="2C3FE999">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color w:val="auto"/>
              </w:rPr>
              <w:t>合格</w:t>
            </w:r>
          </w:p>
        </w:tc>
      </w:tr>
      <w:tr w14:paraId="465C5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35" w:type="pct"/>
            <w:noWrap w:val="0"/>
            <w:vAlign w:val="center"/>
          </w:tcPr>
          <w:p w14:paraId="4D6AC7F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15</w:t>
            </w:r>
          </w:p>
        </w:tc>
        <w:tc>
          <w:tcPr>
            <w:tcW w:w="2536" w:type="pct"/>
            <w:noWrap w:val="0"/>
            <w:vAlign w:val="center"/>
          </w:tcPr>
          <w:p w14:paraId="3DCC357B">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油罐车、LPG罐车、LNG罐车和液氢罐车卸车场地内用于防静电跨接的固定接地装置，不应设置在爆炸危险1区。</w:t>
            </w:r>
          </w:p>
        </w:tc>
        <w:tc>
          <w:tcPr>
            <w:tcW w:w="981" w:type="pct"/>
            <w:noWrap w:val="0"/>
            <w:vAlign w:val="center"/>
          </w:tcPr>
          <w:p w14:paraId="7AE806D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59F4DA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3.2.16</w:t>
            </w:r>
            <w:r>
              <w:rPr>
                <w:rFonts w:hint="eastAsia" w:ascii="Times New Roman" w:hAnsi="Times New Roman" w:eastAsia="宋体" w:cs="Times New Roman"/>
                <w:color w:val="auto"/>
                <w:kern w:val="18"/>
                <w:sz w:val="21"/>
                <w:szCs w:val="21"/>
                <w:highlight w:val="none"/>
                <w:lang w:val="en-US" w:eastAsia="zh-CN" w:bidi="ar-SA"/>
              </w:rPr>
              <w:t>条</w:t>
            </w:r>
          </w:p>
        </w:tc>
        <w:tc>
          <w:tcPr>
            <w:tcW w:w="883" w:type="pct"/>
            <w:noWrap w:val="0"/>
            <w:vAlign w:val="center"/>
          </w:tcPr>
          <w:p w14:paraId="0FEE1CFB">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柴油不涉及爆炸危险区域。</w:t>
            </w:r>
          </w:p>
        </w:tc>
        <w:tc>
          <w:tcPr>
            <w:tcW w:w="362" w:type="pct"/>
            <w:noWrap w:val="0"/>
            <w:vAlign w:val="center"/>
          </w:tcPr>
          <w:p w14:paraId="1E622D2C">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color w:val="auto"/>
              </w:rPr>
              <w:t>合格</w:t>
            </w:r>
          </w:p>
        </w:tc>
      </w:tr>
      <w:tr w14:paraId="79C04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5" w:hRule="atLeast"/>
        </w:trPr>
        <w:tc>
          <w:tcPr>
            <w:tcW w:w="5000" w:type="pct"/>
            <w:gridSpan w:val="5"/>
            <w:noWrap w:val="0"/>
            <w:vAlign w:val="center"/>
          </w:tcPr>
          <w:p w14:paraId="5ADD057F">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紧急切断系统</w:t>
            </w:r>
          </w:p>
        </w:tc>
      </w:tr>
      <w:tr w14:paraId="51004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98" w:hRule="atLeast"/>
        </w:trPr>
        <w:tc>
          <w:tcPr>
            <w:tcW w:w="235" w:type="pct"/>
            <w:noWrap w:val="0"/>
            <w:vAlign w:val="center"/>
          </w:tcPr>
          <w:p w14:paraId="6748A3C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1</w:t>
            </w:r>
          </w:p>
        </w:tc>
        <w:tc>
          <w:tcPr>
            <w:tcW w:w="2536" w:type="pct"/>
            <w:noWrap w:val="0"/>
            <w:vAlign w:val="center"/>
          </w:tcPr>
          <w:p w14:paraId="01A99AE8">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汽车加油加气加氢站应设置紧急切断系统，该系统应能在事故状态下实现紧急停车和关闭紧急切断阀的保护功能。</w:t>
            </w:r>
          </w:p>
        </w:tc>
        <w:tc>
          <w:tcPr>
            <w:tcW w:w="981" w:type="pct"/>
            <w:noWrap w:val="0"/>
            <w:vAlign w:val="center"/>
          </w:tcPr>
          <w:p w14:paraId="30E5B69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213B7F8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3.5.1</w:t>
            </w:r>
            <w:r>
              <w:rPr>
                <w:rFonts w:hint="eastAsia" w:ascii="Times New Roman" w:hAnsi="Times New Roman" w:eastAsia="宋体" w:cs="Times New Roman"/>
                <w:color w:val="auto"/>
                <w:kern w:val="18"/>
                <w:sz w:val="21"/>
                <w:szCs w:val="21"/>
                <w:highlight w:val="none"/>
                <w:lang w:val="en-US" w:eastAsia="zh-CN" w:bidi="ar-SA"/>
              </w:rPr>
              <w:t>条</w:t>
            </w:r>
          </w:p>
        </w:tc>
        <w:tc>
          <w:tcPr>
            <w:tcW w:w="883" w:type="pct"/>
            <w:noWrap w:val="0"/>
            <w:vAlign w:val="center"/>
          </w:tcPr>
          <w:p w14:paraId="05267144">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color w:val="auto"/>
              </w:rPr>
            </w:pPr>
            <w:r>
              <w:rPr>
                <w:color w:val="auto"/>
              </w:rPr>
              <w:t>设置紧急切</w:t>
            </w:r>
          </w:p>
          <w:p w14:paraId="0BED3398">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color w:val="auto"/>
              </w:rPr>
              <w:t>断系统</w:t>
            </w:r>
          </w:p>
        </w:tc>
        <w:tc>
          <w:tcPr>
            <w:tcW w:w="362" w:type="pct"/>
            <w:noWrap w:val="0"/>
            <w:vAlign w:val="center"/>
          </w:tcPr>
          <w:p w14:paraId="08D8467D">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hint="eastAsia"/>
                <w:color w:val="auto"/>
                <w:lang w:val="en-US" w:eastAsia="zh-CN"/>
              </w:rPr>
              <w:t>合格</w:t>
            </w:r>
          </w:p>
        </w:tc>
      </w:tr>
      <w:tr w14:paraId="7F561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91" w:hRule="atLeast"/>
        </w:trPr>
        <w:tc>
          <w:tcPr>
            <w:tcW w:w="235" w:type="pct"/>
            <w:noWrap w:val="0"/>
            <w:vAlign w:val="center"/>
          </w:tcPr>
          <w:p w14:paraId="2C3E17F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2</w:t>
            </w:r>
          </w:p>
        </w:tc>
        <w:tc>
          <w:tcPr>
            <w:tcW w:w="2536" w:type="pct"/>
            <w:noWrap w:val="0"/>
            <w:vAlign w:val="center"/>
          </w:tcPr>
          <w:p w14:paraId="59C6BACB">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left"/>
              <w:textAlignment w:val="auto"/>
              <w:rPr>
                <w:color w:val="auto"/>
              </w:rPr>
            </w:pPr>
            <w:r>
              <w:rPr>
                <w:color w:val="auto"/>
              </w:rPr>
              <w:t>紧急切断系统应至少在下列位置设置紧急切断开关：</w:t>
            </w:r>
          </w:p>
          <w:p w14:paraId="742F4AE7">
            <w:pPr>
              <w:pStyle w:val="43"/>
              <w:keepNext w:val="0"/>
              <w:keepLines w:val="0"/>
              <w:pageBreakBefore w:val="0"/>
              <w:widowControl w:val="0"/>
              <w:kinsoku/>
              <w:wordWrap/>
              <w:overflowPunct/>
              <w:topLinePunct w:val="0"/>
              <w:autoSpaceDE/>
              <w:autoSpaceDN/>
              <w:bidi w:val="0"/>
              <w:adjustRightInd w:val="0"/>
              <w:snapToGrid w:val="0"/>
              <w:spacing w:before="0" w:after="0" w:line="240" w:lineRule="auto"/>
              <w:jc w:val="left"/>
              <w:textAlignment w:val="auto"/>
              <w:rPr>
                <w:color w:val="auto"/>
              </w:rPr>
            </w:pPr>
            <w:r>
              <w:rPr>
                <w:color w:val="auto"/>
              </w:rPr>
              <w:t>1、在汽车加油加气加氢站现场工作人员容易接近且较为安全的位置；</w:t>
            </w:r>
          </w:p>
          <w:p w14:paraId="5FE8D24E">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2、在控制室、值班室内或站房收银台等有人员值守的位置。</w:t>
            </w:r>
          </w:p>
        </w:tc>
        <w:tc>
          <w:tcPr>
            <w:tcW w:w="981" w:type="pct"/>
            <w:noWrap w:val="0"/>
            <w:vAlign w:val="center"/>
          </w:tcPr>
          <w:p w14:paraId="796242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2FA980E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3.5.2</w:t>
            </w:r>
            <w:r>
              <w:rPr>
                <w:rFonts w:hint="eastAsia" w:ascii="Times New Roman" w:hAnsi="Times New Roman" w:eastAsia="宋体" w:cs="Times New Roman"/>
                <w:color w:val="auto"/>
                <w:kern w:val="18"/>
                <w:sz w:val="21"/>
                <w:szCs w:val="21"/>
                <w:highlight w:val="none"/>
                <w:lang w:val="en-US" w:eastAsia="zh-CN" w:bidi="ar-SA"/>
              </w:rPr>
              <w:t>条</w:t>
            </w:r>
          </w:p>
        </w:tc>
        <w:tc>
          <w:tcPr>
            <w:tcW w:w="883" w:type="pct"/>
            <w:noWrap w:val="0"/>
            <w:vAlign w:val="center"/>
          </w:tcPr>
          <w:p w14:paraId="0E94F4FB">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hint="eastAsia"/>
                <w:color w:val="auto"/>
                <w:lang w:val="en-US" w:eastAsia="zh-CN"/>
              </w:rPr>
              <w:t>加油机自带紧急切断</w:t>
            </w:r>
          </w:p>
        </w:tc>
        <w:tc>
          <w:tcPr>
            <w:tcW w:w="362" w:type="pct"/>
            <w:noWrap w:val="0"/>
            <w:vAlign w:val="center"/>
          </w:tcPr>
          <w:p w14:paraId="2F2812BD">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color w:val="auto"/>
              </w:rPr>
              <w:t>合格</w:t>
            </w:r>
          </w:p>
        </w:tc>
      </w:tr>
      <w:tr w14:paraId="1B106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35" w:type="pct"/>
            <w:noWrap w:val="0"/>
            <w:vAlign w:val="center"/>
          </w:tcPr>
          <w:p w14:paraId="24EC949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3</w:t>
            </w:r>
          </w:p>
        </w:tc>
        <w:tc>
          <w:tcPr>
            <w:tcW w:w="2536" w:type="pct"/>
            <w:noWrap w:val="0"/>
            <w:vAlign w:val="center"/>
          </w:tcPr>
          <w:p w14:paraId="07CE0FFD">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工艺设备的电源和工艺管道上的紧急切断阀应能由手动启动的远程控制切断系统操纵关闭。</w:t>
            </w:r>
          </w:p>
        </w:tc>
        <w:tc>
          <w:tcPr>
            <w:tcW w:w="981" w:type="pct"/>
            <w:noWrap w:val="0"/>
            <w:vAlign w:val="center"/>
          </w:tcPr>
          <w:p w14:paraId="7A31515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1985BA7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3.5.3</w:t>
            </w:r>
            <w:r>
              <w:rPr>
                <w:rFonts w:hint="eastAsia" w:ascii="Times New Roman" w:hAnsi="Times New Roman" w:eastAsia="宋体" w:cs="Times New Roman"/>
                <w:color w:val="auto"/>
                <w:kern w:val="18"/>
                <w:sz w:val="21"/>
                <w:szCs w:val="21"/>
                <w:highlight w:val="none"/>
                <w:lang w:val="en-US" w:eastAsia="zh-CN" w:bidi="ar-SA"/>
              </w:rPr>
              <w:t>条</w:t>
            </w:r>
          </w:p>
        </w:tc>
        <w:tc>
          <w:tcPr>
            <w:tcW w:w="883" w:type="pct"/>
            <w:noWrap w:val="0"/>
            <w:vAlign w:val="center"/>
          </w:tcPr>
          <w:p w14:paraId="4367A4EE">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color w:val="auto"/>
              </w:rPr>
              <w:t>设有手动切断</w:t>
            </w:r>
          </w:p>
        </w:tc>
        <w:tc>
          <w:tcPr>
            <w:tcW w:w="362" w:type="pct"/>
            <w:noWrap w:val="0"/>
            <w:vAlign w:val="center"/>
          </w:tcPr>
          <w:p w14:paraId="1194012E">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color w:val="auto"/>
              </w:rPr>
              <w:t>合格</w:t>
            </w:r>
          </w:p>
        </w:tc>
      </w:tr>
      <w:tr w14:paraId="16C32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4" w:hRule="atLeast"/>
        </w:trPr>
        <w:tc>
          <w:tcPr>
            <w:tcW w:w="235" w:type="pct"/>
            <w:noWrap w:val="0"/>
            <w:vAlign w:val="center"/>
          </w:tcPr>
          <w:p w14:paraId="72C3D30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4</w:t>
            </w:r>
          </w:p>
        </w:tc>
        <w:tc>
          <w:tcPr>
            <w:tcW w:w="2536" w:type="pct"/>
            <w:noWrap w:val="0"/>
            <w:vAlign w:val="center"/>
          </w:tcPr>
          <w:p w14:paraId="58FDEFA1">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紧急切断系统应只能手动复位。</w:t>
            </w:r>
          </w:p>
        </w:tc>
        <w:tc>
          <w:tcPr>
            <w:tcW w:w="981" w:type="pct"/>
            <w:noWrap w:val="0"/>
            <w:vAlign w:val="center"/>
          </w:tcPr>
          <w:p w14:paraId="7AAA9B1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281F886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3.5.4</w:t>
            </w:r>
            <w:r>
              <w:rPr>
                <w:rFonts w:hint="eastAsia" w:ascii="Times New Roman" w:hAnsi="Times New Roman" w:eastAsia="宋体" w:cs="Times New Roman"/>
                <w:color w:val="auto"/>
                <w:kern w:val="18"/>
                <w:sz w:val="21"/>
                <w:szCs w:val="21"/>
                <w:highlight w:val="none"/>
                <w:lang w:val="en-US" w:eastAsia="zh-CN" w:bidi="ar-SA"/>
              </w:rPr>
              <w:t>条</w:t>
            </w:r>
          </w:p>
        </w:tc>
        <w:tc>
          <w:tcPr>
            <w:tcW w:w="883" w:type="pct"/>
            <w:noWrap w:val="0"/>
            <w:vAlign w:val="center"/>
          </w:tcPr>
          <w:p w14:paraId="5A5A1D24">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color w:val="auto"/>
              </w:rPr>
              <w:t>手动复位</w:t>
            </w:r>
          </w:p>
        </w:tc>
        <w:tc>
          <w:tcPr>
            <w:tcW w:w="362" w:type="pct"/>
            <w:noWrap w:val="0"/>
            <w:vAlign w:val="center"/>
          </w:tcPr>
          <w:p w14:paraId="26939C3E">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color w:val="auto"/>
              </w:rPr>
              <w:t>合格</w:t>
            </w:r>
          </w:p>
        </w:tc>
      </w:tr>
    </w:tbl>
    <w:p w14:paraId="455524BB">
      <w:pPr>
        <w:pStyle w:val="4"/>
        <w:bidi w:val="0"/>
        <w:rPr>
          <w:rFonts w:hint="default"/>
          <w:lang w:val="en-US" w:eastAsia="zh-CN"/>
        </w:rPr>
      </w:pPr>
      <w:bookmarkStart w:id="110" w:name="_Toc344"/>
      <w:r>
        <w:rPr>
          <w:rFonts w:hint="default"/>
          <w:lang w:val="en-US" w:eastAsia="zh-CN"/>
        </w:rPr>
        <w:t>F3.4.3 加油站采暖通风、建（构）筑物、绿化符合性评价</w:t>
      </w:r>
      <w:bookmarkEnd w:id="110"/>
    </w:p>
    <w:p w14:paraId="1DC3B845">
      <w:pPr>
        <w:ind w:left="0" w:leftChars="0" w:firstLine="0" w:firstLineChars="0"/>
        <w:jc w:val="center"/>
        <w:rPr>
          <w:rFonts w:hint="default"/>
          <w:lang w:val="en-US" w:eastAsia="zh-CN"/>
        </w:rPr>
      </w:pPr>
      <w:r>
        <w:rPr>
          <w:rFonts w:hint="default"/>
          <w:lang w:val="en-US" w:eastAsia="zh-CN"/>
        </w:rPr>
        <w:t>表F3.4-3</w:t>
      </w:r>
      <w:r>
        <w:rPr>
          <w:rFonts w:hint="eastAsia"/>
          <w:lang w:val="en-US" w:eastAsia="zh-CN"/>
        </w:rPr>
        <w:t xml:space="preserve"> </w:t>
      </w:r>
      <w:r>
        <w:rPr>
          <w:rFonts w:hint="default"/>
          <w:lang w:val="en-US" w:eastAsia="zh-CN"/>
        </w:rPr>
        <w:t>加油站采暖通风、建（构）筑物、绿化符合性检查表</w:t>
      </w:r>
    </w:p>
    <w:tbl>
      <w:tblPr>
        <w:tblStyle w:val="20"/>
        <w:tblW w:w="504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29"/>
        <w:gridCol w:w="4938"/>
        <w:gridCol w:w="1500"/>
        <w:gridCol w:w="1616"/>
        <w:gridCol w:w="686"/>
      </w:tblGrid>
      <w:tr w14:paraId="5ADC6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9" w:hRule="atLeast"/>
        </w:trPr>
        <w:tc>
          <w:tcPr>
            <w:tcW w:w="234" w:type="pct"/>
            <w:noWrap w:val="0"/>
            <w:vAlign w:val="center"/>
          </w:tcPr>
          <w:p w14:paraId="1DE74B5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color w:val="auto"/>
                <w:kern w:val="18"/>
                <w:sz w:val="21"/>
                <w:szCs w:val="21"/>
                <w:highlight w:val="none"/>
                <w:lang w:val="en-US" w:eastAsia="zh-CN" w:bidi="ar-SA"/>
              </w:rPr>
            </w:pPr>
            <w:r>
              <w:rPr>
                <w:rFonts w:ascii="Times New Roman" w:hAnsi="Times New Roman" w:eastAsia="宋体" w:cs="Times New Roman"/>
                <w:b/>
                <w:bCs/>
                <w:color w:val="auto"/>
                <w:kern w:val="18"/>
                <w:sz w:val="21"/>
                <w:szCs w:val="21"/>
                <w:highlight w:val="none"/>
                <w:lang w:val="en-US" w:eastAsia="zh-CN" w:bidi="ar-SA"/>
              </w:rPr>
              <w:t>序号</w:t>
            </w:r>
          </w:p>
        </w:tc>
        <w:tc>
          <w:tcPr>
            <w:tcW w:w="2693" w:type="pct"/>
            <w:noWrap w:val="0"/>
            <w:vAlign w:val="center"/>
          </w:tcPr>
          <w:p w14:paraId="681A00E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color w:val="auto"/>
                <w:kern w:val="18"/>
                <w:sz w:val="21"/>
                <w:szCs w:val="21"/>
                <w:highlight w:val="none"/>
                <w:lang w:val="en-US" w:eastAsia="zh-CN" w:bidi="ar-SA"/>
              </w:rPr>
            </w:pPr>
            <w:r>
              <w:rPr>
                <w:rFonts w:ascii="Times New Roman" w:hAnsi="Times New Roman" w:eastAsia="宋体" w:cs="Times New Roman"/>
                <w:b/>
                <w:bCs/>
                <w:color w:val="auto"/>
                <w:kern w:val="18"/>
                <w:sz w:val="21"/>
                <w:szCs w:val="21"/>
                <w:highlight w:val="none"/>
                <w:lang w:val="en-US" w:eastAsia="zh-CN" w:bidi="ar-SA"/>
              </w:rPr>
              <w:t>检查内容</w:t>
            </w:r>
          </w:p>
        </w:tc>
        <w:tc>
          <w:tcPr>
            <w:tcW w:w="818" w:type="pct"/>
            <w:noWrap w:val="0"/>
            <w:vAlign w:val="center"/>
          </w:tcPr>
          <w:p w14:paraId="0D88138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color w:val="auto"/>
                <w:kern w:val="18"/>
                <w:sz w:val="21"/>
                <w:szCs w:val="21"/>
                <w:highlight w:val="none"/>
                <w:lang w:val="en-US" w:eastAsia="zh-CN" w:bidi="ar-SA"/>
              </w:rPr>
            </w:pPr>
            <w:r>
              <w:rPr>
                <w:rFonts w:ascii="Times New Roman" w:hAnsi="Times New Roman" w:eastAsia="宋体" w:cs="Times New Roman"/>
                <w:b/>
                <w:bCs/>
                <w:color w:val="auto"/>
                <w:kern w:val="18"/>
                <w:sz w:val="21"/>
                <w:szCs w:val="21"/>
                <w:highlight w:val="none"/>
                <w:lang w:val="en-US" w:eastAsia="zh-CN" w:bidi="ar-SA"/>
              </w:rPr>
              <w:t>标准条款</w:t>
            </w:r>
          </w:p>
        </w:tc>
        <w:tc>
          <w:tcPr>
            <w:tcW w:w="881" w:type="pct"/>
            <w:noWrap w:val="0"/>
            <w:vAlign w:val="center"/>
          </w:tcPr>
          <w:p w14:paraId="1A28C0F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color w:val="auto"/>
                <w:kern w:val="18"/>
                <w:sz w:val="21"/>
                <w:szCs w:val="21"/>
                <w:highlight w:val="none"/>
                <w:lang w:val="en-US" w:eastAsia="zh-CN" w:bidi="ar-SA"/>
              </w:rPr>
            </w:pPr>
            <w:r>
              <w:rPr>
                <w:rFonts w:ascii="Times New Roman" w:hAnsi="Times New Roman" w:eastAsia="宋体" w:cs="Times New Roman"/>
                <w:b/>
                <w:bCs/>
                <w:color w:val="auto"/>
                <w:kern w:val="18"/>
                <w:sz w:val="21"/>
                <w:szCs w:val="21"/>
                <w:highlight w:val="none"/>
                <w:lang w:val="en-US" w:eastAsia="zh-CN" w:bidi="ar-SA"/>
              </w:rPr>
              <w:t>检查情况</w:t>
            </w:r>
          </w:p>
        </w:tc>
        <w:tc>
          <w:tcPr>
            <w:tcW w:w="372" w:type="pct"/>
            <w:noWrap w:val="0"/>
            <w:vAlign w:val="center"/>
          </w:tcPr>
          <w:p w14:paraId="5B484B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color w:val="auto"/>
                <w:kern w:val="18"/>
                <w:sz w:val="21"/>
                <w:szCs w:val="21"/>
                <w:highlight w:val="none"/>
                <w:lang w:val="en-US" w:eastAsia="zh-CN" w:bidi="ar-SA"/>
              </w:rPr>
            </w:pPr>
            <w:r>
              <w:rPr>
                <w:rFonts w:ascii="Times New Roman" w:hAnsi="Times New Roman" w:eastAsia="宋体" w:cs="Times New Roman"/>
                <w:b/>
                <w:bCs/>
                <w:color w:val="auto"/>
                <w:kern w:val="18"/>
                <w:sz w:val="21"/>
                <w:szCs w:val="21"/>
                <w:highlight w:val="none"/>
                <w:lang w:val="en-US" w:eastAsia="zh-CN" w:bidi="ar-SA"/>
              </w:rPr>
              <w:t>评价</w:t>
            </w:r>
          </w:p>
          <w:p w14:paraId="6A12701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color w:val="auto"/>
                <w:kern w:val="18"/>
                <w:sz w:val="21"/>
                <w:szCs w:val="21"/>
                <w:highlight w:val="none"/>
                <w:lang w:val="en-US" w:eastAsia="zh-CN" w:bidi="ar-SA"/>
              </w:rPr>
            </w:pPr>
            <w:r>
              <w:rPr>
                <w:rFonts w:ascii="Times New Roman" w:hAnsi="Times New Roman" w:eastAsia="宋体" w:cs="Times New Roman"/>
                <w:b/>
                <w:bCs/>
                <w:color w:val="auto"/>
                <w:kern w:val="18"/>
                <w:sz w:val="21"/>
                <w:szCs w:val="21"/>
                <w:highlight w:val="none"/>
                <w:lang w:val="en-US" w:eastAsia="zh-CN" w:bidi="ar-SA"/>
              </w:rPr>
              <w:t>结果</w:t>
            </w:r>
          </w:p>
        </w:tc>
      </w:tr>
      <w:tr w14:paraId="6CAEF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5" w:hRule="atLeast"/>
        </w:trPr>
        <w:tc>
          <w:tcPr>
            <w:tcW w:w="5000" w:type="pct"/>
            <w:gridSpan w:val="5"/>
            <w:noWrap w:val="0"/>
            <w:vAlign w:val="center"/>
          </w:tcPr>
          <w:p w14:paraId="12B92E8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18"/>
                <w:sz w:val="21"/>
                <w:szCs w:val="21"/>
                <w:highlight w:val="none"/>
                <w:lang w:val="en-US" w:eastAsia="zh-CN" w:bidi="ar-SA"/>
              </w:rPr>
            </w:pPr>
            <w:r>
              <w:rPr>
                <w:color w:val="auto"/>
                <w:sz w:val="21"/>
                <w:szCs w:val="21"/>
              </w:rPr>
              <w:t>采暖通风</w:t>
            </w:r>
          </w:p>
        </w:tc>
      </w:tr>
      <w:tr w14:paraId="19DD9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8" w:hRule="atLeast"/>
        </w:trPr>
        <w:tc>
          <w:tcPr>
            <w:tcW w:w="234" w:type="pct"/>
            <w:noWrap w:val="0"/>
            <w:vAlign w:val="center"/>
          </w:tcPr>
          <w:p w14:paraId="6153D5C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1</w:t>
            </w:r>
          </w:p>
        </w:tc>
        <w:tc>
          <w:tcPr>
            <w:tcW w:w="2693" w:type="pct"/>
            <w:noWrap w:val="0"/>
            <w:vAlign w:val="center"/>
          </w:tcPr>
          <w:p w14:paraId="701AB102">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left"/>
              <w:textAlignment w:val="auto"/>
              <w:rPr>
                <w:rFonts w:hint="default" w:ascii="Times New Roman" w:hAnsi="Times New Roman" w:eastAsia="宋体" w:cs="Times New Roman"/>
                <w:color w:val="auto"/>
                <w:kern w:val="18"/>
                <w:sz w:val="21"/>
                <w:szCs w:val="21"/>
                <w:highlight w:val="none"/>
                <w:lang w:val="en-US" w:eastAsia="zh-CN" w:bidi="ar-SA"/>
              </w:rPr>
            </w:pPr>
            <w:r>
              <w:rPr>
                <w:color w:val="auto"/>
              </w:rPr>
              <w:t>汽车加油加气加氢站采暖宜利用城市、小区或</w:t>
            </w:r>
            <w:r>
              <w:rPr>
                <w:rFonts w:hint="eastAsia"/>
                <w:color w:val="auto"/>
                <w:lang w:eastAsia="zh-CN"/>
              </w:rPr>
              <w:t>邻近</w:t>
            </w:r>
            <w:r>
              <w:rPr>
                <w:color w:val="auto"/>
              </w:rPr>
              <w:t>单位的热源。无利用条件时，可在汽车加油加气加氢站内设置锅炉房。</w:t>
            </w:r>
          </w:p>
        </w:tc>
        <w:tc>
          <w:tcPr>
            <w:tcW w:w="818" w:type="pct"/>
            <w:noWrap w:val="0"/>
            <w:vAlign w:val="center"/>
          </w:tcPr>
          <w:p w14:paraId="43A73A5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565A1C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4.1.2</w:t>
            </w:r>
            <w:r>
              <w:rPr>
                <w:rFonts w:hint="eastAsia" w:ascii="Times New Roman" w:hAnsi="Times New Roman" w:eastAsia="宋体" w:cs="Times New Roman"/>
                <w:color w:val="auto"/>
                <w:kern w:val="18"/>
                <w:sz w:val="21"/>
                <w:szCs w:val="21"/>
                <w:highlight w:val="none"/>
                <w:lang w:val="en-US" w:eastAsia="zh-CN" w:bidi="ar-SA"/>
              </w:rPr>
              <w:t>条</w:t>
            </w:r>
          </w:p>
        </w:tc>
        <w:tc>
          <w:tcPr>
            <w:tcW w:w="881" w:type="pct"/>
            <w:noWrap w:val="0"/>
            <w:vAlign w:val="center"/>
          </w:tcPr>
          <w:p w14:paraId="56D8BCE1">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hint="default" w:ascii="Times New Roman" w:hAnsi="Times New Roman" w:eastAsia="宋体" w:cs="Times New Roman"/>
                <w:b w:val="0"/>
                <w:bCs w:val="0"/>
                <w:color w:val="auto"/>
                <w:kern w:val="18"/>
                <w:sz w:val="21"/>
                <w:szCs w:val="21"/>
                <w:highlight w:val="none"/>
                <w:lang w:val="en-US" w:eastAsia="zh-CN" w:bidi="ar-SA"/>
              </w:rPr>
            </w:pPr>
            <w:r>
              <w:rPr>
                <w:rFonts w:hint="eastAsia" w:cs="Times New Roman"/>
                <w:b w:val="0"/>
                <w:bCs w:val="0"/>
                <w:color w:val="auto"/>
                <w:kern w:val="18"/>
                <w:sz w:val="21"/>
                <w:szCs w:val="21"/>
                <w:highlight w:val="none"/>
                <w:lang w:val="en-US" w:eastAsia="zh-CN" w:bidi="ar-SA"/>
              </w:rPr>
              <w:t>/</w:t>
            </w:r>
          </w:p>
        </w:tc>
        <w:tc>
          <w:tcPr>
            <w:tcW w:w="372" w:type="pct"/>
            <w:noWrap w:val="0"/>
            <w:vAlign w:val="center"/>
          </w:tcPr>
          <w:p w14:paraId="318489F2">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hint="eastAsia" w:ascii="Times New Roman" w:hAnsi="Times New Roman" w:eastAsia="宋体" w:cs="Times New Roman"/>
                <w:b w:val="0"/>
                <w:bCs w:val="0"/>
                <w:color w:val="auto"/>
                <w:kern w:val="18"/>
                <w:sz w:val="21"/>
                <w:szCs w:val="21"/>
                <w:highlight w:val="none"/>
                <w:lang w:val="en-US" w:eastAsia="zh-CN" w:bidi="ar-SA"/>
              </w:rPr>
            </w:pPr>
            <w:r>
              <w:rPr>
                <w:rFonts w:hint="eastAsia"/>
                <w:color w:val="auto"/>
                <w:lang w:val="en-US" w:eastAsia="zh-CN"/>
              </w:rPr>
              <w:t>/</w:t>
            </w:r>
          </w:p>
        </w:tc>
      </w:tr>
      <w:tr w14:paraId="28B12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7" w:hRule="atLeast"/>
        </w:trPr>
        <w:tc>
          <w:tcPr>
            <w:tcW w:w="234" w:type="pct"/>
            <w:noWrap w:val="0"/>
            <w:vAlign w:val="center"/>
          </w:tcPr>
          <w:p w14:paraId="3EA439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s="Times New Roman"/>
                <w:color w:val="auto"/>
                <w:kern w:val="18"/>
                <w:sz w:val="21"/>
                <w:szCs w:val="21"/>
                <w:highlight w:val="none"/>
                <w:lang w:val="en-US" w:eastAsia="zh-CN" w:bidi="ar-SA"/>
              </w:rPr>
            </w:pPr>
          </w:p>
        </w:tc>
        <w:tc>
          <w:tcPr>
            <w:tcW w:w="2693" w:type="pct"/>
            <w:noWrap w:val="0"/>
            <w:vAlign w:val="center"/>
          </w:tcPr>
          <w:p w14:paraId="76E360F9">
            <w:pPr>
              <w:pStyle w:val="43"/>
              <w:keepNext w:val="0"/>
              <w:keepLines w:val="0"/>
              <w:pageBreakBefore w:val="0"/>
              <w:widowControl w:val="0"/>
              <w:kinsoku/>
              <w:wordWrap/>
              <w:overflowPunct/>
              <w:topLinePunct w:val="0"/>
              <w:autoSpaceDE/>
              <w:autoSpaceDN/>
              <w:bidi w:val="0"/>
              <w:adjustRightInd w:val="0"/>
              <w:snapToGrid w:val="0"/>
              <w:spacing w:line="280" w:lineRule="exact"/>
              <w:jc w:val="left"/>
              <w:textAlignment w:val="auto"/>
              <w:rPr>
                <w:color w:val="auto"/>
              </w:rPr>
            </w:pPr>
            <w:r>
              <w:rPr>
                <w:color w:val="auto"/>
              </w:rPr>
              <w:t>设置在站房内的热水锅炉房（间）应符合下列规定：</w:t>
            </w:r>
          </w:p>
          <w:p w14:paraId="74AA622C">
            <w:pPr>
              <w:pStyle w:val="43"/>
              <w:keepNext w:val="0"/>
              <w:keepLines w:val="0"/>
              <w:pageBreakBefore w:val="0"/>
              <w:widowControl w:val="0"/>
              <w:kinsoku/>
              <w:wordWrap/>
              <w:overflowPunct/>
              <w:topLinePunct w:val="0"/>
              <w:autoSpaceDE/>
              <w:autoSpaceDN/>
              <w:bidi w:val="0"/>
              <w:adjustRightInd w:val="0"/>
              <w:snapToGrid w:val="0"/>
              <w:spacing w:line="280" w:lineRule="exact"/>
              <w:jc w:val="left"/>
              <w:textAlignment w:val="auto"/>
              <w:rPr>
                <w:color w:val="auto"/>
              </w:rPr>
            </w:pPr>
            <w:r>
              <w:rPr>
                <w:color w:val="auto"/>
              </w:rPr>
              <w:t>1 锅炉宜选用额定供热量不大于140kW的小型锅炉。</w:t>
            </w:r>
          </w:p>
          <w:p w14:paraId="105BAC20">
            <w:pPr>
              <w:pStyle w:val="43"/>
              <w:keepNext w:val="0"/>
              <w:keepLines w:val="0"/>
              <w:pageBreakBefore w:val="0"/>
              <w:widowControl w:val="0"/>
              <w:kinsoku/>
              <w:wordWrap/>
              <w:overflowPunct/>
              <w:topLinePunct w:val="0"/>
              <w:autoSpaceDE/>
              <w:autoSpaceDN/>
              <w:bidi w:val="0"/>
              <w:adjustRightInd w:val="0"/>
              <w:snapToGrid w:val="0"/>
              <w:spacing w:line="280" w:lineRule="exact"/>
              <w:jc w:val="left"/>
              <w:textAlignment w:val="auto"/>
              <w:rPr>
                <w:color w:val="auto"/>
              </w:rPr>
            </w:pPr>
            <w:r>
              <w:rPr>
                <w:color w:val="auto"/>
              </w:rPr>
              <w:t>2 采用燃煤锅炉时，宜选用具有除尘功能的自然通风型锅炉。锅炉烟囱出口应高出屋顶2m及以上，且应采取防止火星外逸的有效措施。</w:t>
            </w:r>
          </w:p>
          <w:p w14:paraId="7A96958D">
            <w:pPr>
              <w:pStyle w:val="43"/>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default" w:ascii="Times New Roman" w:hAnsi="Times New Roman" w:eastAsia="宋体" w:cs="Times New Roman"/>
                <w:color w:val="auto"/>
                <w:kern w:val="18"/>
                <w:sz w:val="21"/>
                <w:szCs w:val="21"/>
                <w:highlight w:val="none"/>
                <w:lang w:val="en-US" w:eastAsia="zh-CN" w:bidi="ar-SA"/>
              </w:rPr>
            </w:pPr>
            <w:r>
              <w:rPr>
                <w:color w:val="auto"/>
              </w:rPr>
              <w:t>3 当采用燃气热水器采暖时，热水器应设有排烟系统和熄火保护等安全装置。</w:t>
            </w:r>
          </w:p>
        </w:tc>
        <w:tc>
          <w:tcPr>
            <w:tcW w:w="818" w:type="pct"/>
            <w:noWrap w:val="0"/>
            <w:vAlign w:val="center"/>
          </w:tcPr>
          <w:p w14:paraId="3C57306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1BE0C2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4.1.3</w:t>
            </w:r>
            <w:r>
              <w:rPr>
                <w:rFonts w:hint="eastAsia" w:ascii="Times New Roman" w:hAnsi="Times New Roman" w:eastAsia="宋体" w:cs="Times New Roman"/>
                <w:color w:val="auto"/>
                <w:kern w:val="18"/>
                <w:sz w:val="21"/>
                <w:szCs w:val="21"/>
                <w:highlight w:val="none"/>
                <w:lang w:val="en-US" w:eastAsia="zh-CN" w:bidi="ar-SA"/>
              </w:rPr>
              <w:t>条</w:t>
            </w:r>
          </w:p>
        </w:tc>
        <w:tc>
          <w:tcPr>
            <w:tcW w:w="881" w:type="pct"/>
            <w:noWrap w:val="0"/>
            <w:vAlign w:val="center"/>
          </w:tcPr>
          <w:p w14:paraId="7D05FFE9">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hint="default" w:ascii="Times New Roman" w:hAnsi="Times New Roman" w:eastAsia="宋体" w:cs="Times New Roman"/>
                <w:b w:val="0"/>
                <w:bCs w:val="0"/>
                <w:color w:val="auto"/>
                <w:kern w:val="18"/>
                <w:sz w:val="21"/>
                <w:szCs w:val="21"/>
                <w:highlight w:val="none"/>
                <w:lang w:val="en-US" w:eastAsia="zh-CN" w:bidi="ar-SA"/>
              </w:rPr>
            </w:pPr>
            <w:r>
              <w:rPr>
                <w:rFonts w:hint="eastAsia" w:cs="Times New Roman"/>
                <w:b w:val="0"/>
                <w:bCs w:val="0"/>
                <w:color w:val="auto"/>
                <w:kern w:val="18"/>
                <w:sz w:val="21"/>
                <w:szCs w:val="21"/>
                <w:highlight w:val="none"/>
                <w:lang w:val="en-US" w:eastAsia="zh-CN" w:bidi="ar-SA"/>
              </w:rPr>
              <w:t>/</w:t>
            </w:r>
          </w:p>
        </w:tc>
        <w:tc>
          <w:tcPr>
            <w:tcW w:w="372" w:type="pct"/>
            <w:noWrap w:val="0"/>
            <w:vAlign w:val="center"/>
          </w:tcPr>
          <w:p w14:paraId="62AB3A1C">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hint="eastAsia" w:eastAsia="宋体"/>
                <w:color w:val="auto"/>
                <w:lang w:val="en-US" w:eastAsia="zh-CN"/>
              </w:rPr>
            </w:pPr>
            <w:r>
              <w:rPr>
                <w:rFonts w:hint="eastAsia"/>
                <w:color w:val="auto"/>
                <w:lang w:val="en-US" w:eastAsia="zh-CN"/>
              </w:rPr>
              <w:t>/</w:t>
            </w:r>
          </w:p>
        </w:tc>
      </w:tr>
      <w:tr w14:paraId="4F1AE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72" w:hRule="atLeast"/>
        </w:trPr>
        <w:tc>
          <w:tcPr>
            <w:tcW w:w="234" w:type="pct"/>
            <w:noWrap w:val="0"/>
            <w:vAlign w:val="center"/>
          </w:tcPr>
          <w:p w14:paraId="5831AF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s="Times New Roman"/>
                <w:color w:val="auto"/>
                <w:kern w:val="18"/>
                <w:sz w:val="21"/>
                <w:szCs w:val="21"/>
                <w:highlight w:val="none"/>
                <w:lang w:val="en-US" w:eastAsia="zh-CN" w:bidi="ar-SA"/>
              </w:rPr>
            </w:pPr>
          </w:p>
        </w:tc>
        <w:tc>
          <w:tcPr>
            <w:tcW w:w="2693" w:type="pct"/>
            <w:noWrap w:val="0"/>
            <w:vAlign w:val="center"/>
          </w:tcPr>
          <w:p w14:paraId="47852789">
            <w:pPr>
              <w:pStyle w:val="43"/>
              <w:keepNext w:val="0"/>
              <w:keepLines w:val="0"/>
              <w:pageBreakBefore w:val="0"/>
              <w:widowControl w:val="0"/>
              <w:kinsoku/>
              <w:wordWrap/>
              <w:overflowPunct/>
              <w:topLinePunct w:val="0"/>
              <w:autoSpaceDE/>
              <w:autoSpaceDN/>
              <w:bidi w:val="0"/>
              <w:adjustRightInd w:val="0"/>
              <w:snapToGrid w:val="0"/>
              <w:spacing w:line="280" w:lineRule="exact"/>
              <w:jc w:val="left"/>
              <w:textAlignment w:val="auto"/>
              <w:rPr>
                <w:color w:val="auto"/>
              </w:rPr>
            </w:pPr>
            <w:r>
              <w:rPr>
                <w:color w:val="auto"/>
              </w:rPr>
              <w:t>汽车加油加气加氢站内爆炸危险区域内的房间应采取通风措施，并应符合下列规定：</w:t>
            </w:r>
          </w:p>
          <w:p w14:paraId="341167E9">
            <w:pPr>
              <w:pStyle w:val="43"/>
              <w:keepNext w:val="0"/>
              <w:keepLines w:val="0"/>
              <w:pageBreakBefore w:val="0"/>
              <w:widowControl w:val="0"/>
              <w:kinsoku/>
              <w:wordWrap/>
              <w:overflowPunct/>
              <w:topLinePunct w:val="0"/>
              <w:autoSpaceDE/>
              <w:autoSpaceDN/>
              <w:bidi w:val="0"/>
              <w:adjustRightInd w:val="0"/>
              <w:snapToGrid w:val="0"/>
              <w:spacing w:line="280" w:lineRule="exact"/>
              <w:jc w:val="left"/>
              <w:textAlignment w:val="auto"/>
              <w:rPr>
                <w:color w:val="auto"/>
              </w:rPr>
            </w:pPr>
            <w:r>
              <w:rPr>
                <w:color w:val="auto"/>
              </w:rPr>
              <w:t>1 采用强制通风时，通风设备的通风能力在工艺设备工作期间应按每小时换气12次计算，在工艺设备非工作期间应按每小时换气5次计算。通风设备应防爆，并应与可燃气体浓度报警器联锁。</w:t>
            </w:r>
          </w:p>
          <w:p w14:paraId="7A6EDF5A">
            <w:pPr>
              <w:pStyle w:val="43"/>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default" w:ascii="Times New Roman" w:hAnsi="Times New Roman" w:eastAsia="宋体" w:cs="Times New Roman"/>
                <w:color w:val="auto"/>
                <w:kern w:val="18"/>
                <w:sz w:val="21"/>
                <w:szCs w:val="21"/>
                <w:highlight w:val="none"/>
                <w:lang w:val="en-US" w:eastAsia="zh-CN" w:bidi="ar-SA"/>
              </w:rPr>
            </w:pPr>
            <w:r>
              <w:rPr>
                <w:color w:val="auto"/>
              </w:rPr>
              <w:t>2 采用自然通风时，通风口总面积不应小于300cm² /m²（地面），通风口不应少于2个，且应靠近可燃气体积聚的部位设置。</w:t>
            </w:r>
          </w:p>
        </w:tc>
        <w:tc>
          <w:tcPr>
            <w:tcW w:w="818" w:type="pct"/>
            <w:noWrap w:val="0"/>
            <w:vAlign w:val="center"/>
          </w:tcPr>
          <w:p w14:paraId="49BDEAB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4D552E9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4.1.4</w:t>
            </w:r>
            <w:r>
              <w:rPr>
                <w:rFonts w:hint="eastAsia" w:ascii="Times New Roman" w:hAnsi="Times New Roman" w:eastAsia="宋体" w:cs="Times New Roman"/>
                <w:color w:val="auto"/>
                <w:kern w:val="18"/>
                <w:sz w:val="21"/>
                <w:szCs w:val="21"/>
                <w:highlight w:val="none"/>
                <w:lang w:val="en-US" w:eastAsia="zh-CN" w:bidi="ar-SA"/>
              </w:rPr>
              <w:t>条</w:t>
            </w:r>
          </w:p>
        </w:tc>
        <w:tc>
          <w:tcPr>
            <w:tcW w:w="881" w:type="pct"/>
            <w:noWrap w:val="0"/>
            <w:vAlign w:val="center"/>
          </w:tcPr>
          <w:p w14:paraId="1A71C2F9">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hint="default" w:ascii="Times New Roman" w:hAnsi="Times New Roman" w:eastAsia="宋体" w:cs="Times New Roman"/>
                <w:b w:val="0"/>
                <w:bCs w:val="0"/>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柴油不涉及爆炸危险区域。</w:t>
            </w:r>
          </w:p>
        </w:tc>
        <w:tc>
          <w:tcPr>
            <w:tcW w:w="372" w:type="pct"/>
            <w:noWrap w:val="0"/>
            <w:vAlign w:val="center"/>
          </w:tcPr>
          <w:p w14:paraId="291C12CC">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hint="eastAsia" w:eastAsia="宋体"/>
                <w:color w:val="auto"/>
                <w:lang w:val="en-US" w:eastAsia="zh-CN"/>
              </w:rPr>
            </w:pPr>
            <w:r>
              <w:rPr>
                <w:rFonts w:hint="eastAsia"/>
                <w:color w:val="auto"/>
                <w:lang w:val="en-US" w:eastAsia="zh-CN"/>
              </w:rPr>
              <w:t>/</w:t>
            </w:r>
          </w:p>
        </w:tc>
      </w:tr>
      <w:tr w14:paraId="41AE9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8" w:hRule="atLeast"/>
        </w:trPr>
        <w:tc>
          <w:tcPr>
            <w:tcW w:w="234" w:type="pct"/>
            <w:noWrap w:val="0"/>
            <w:vAlign w:val="center"/>
          </w:tcPr>
          <w:p w14:paraId="03D883F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s="Times New Roman"/>
                <w:color w:val="auto"/>
                <w:kern w:val="18"/>
                <w:sz w:val="21"/>
                <w:szCs w:val="21"/>
                <w:highlight w:val="none"/>
                <w:lang w:val="en-US" w:eastAsia="zh-CN" w:bidi="ar-SA"/>
              </w:rPr>
            </w:pPr>
          </w:p>
        </w:tc>
        <w:tc>
          <w:tcPr>
            <w:tcW w:w="2693" w:type="pct"/>
            <w:noWrap w:val="0"/>
            <w:vAlign w:val="center"/>
          </w:tcPr>
          <w:p w14:paraId="205F284B">
            <w:pPr>
              <w:pStyle w:val="43"/>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default" w:ascii="Times New Roman" w:hAnsi="Times New Roman" w:eastAsia="宋体" w:cs="Times New Roman"/>
                <w:color w:val="auto"/>
                <w:kern w:val="18"/>
                <w:sz w:val="21"/>
                <w:szCs w:val="21"/>
                <w:highlight w:val="none"/>
                <w:lang w:val="en-US" w:eastAsia="zh-CN" w:bidi="ar-SA"/>
              </w:rPr>
            </w:pPr>
            <w:r>
              <w:rPr>
                <w:color w:val="auto"/>
              </w:rPr>
              <w:t>汽车加油加气加氢站室内外采暖管道宜直埋敷设，当采用管沟敷设时，管沟应充沙填实，进出建筑物处应采取隔断措施。</w:t>
            </w:r>
          </w:p>
        </w:tc>
        <w:tc>
          <w:tcPr>
            <w:tcW w:w="818" w:type="pct"/>
            <w:noWrap w:val="0"/>
            <w:vAlign w:val="center"/>
          </w:tcPr>
          <w:p w14:paraId="71D544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1F55971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4.1.5</w:t>
            </w:r>
            <w:r>
              <w:rPr>
                <w:rFonts w:hint="eastAsia" w:ascii="Times New Roman" w:hAnsi="Times New Roman" w:eastAsia="宋体" w:cs="Times New Roman"/>
                <w:color w:val="auto"/>
                <w:kern w:val="18"/>
                <w:sz w:val="21"/>
                <w:szCs w:val="21"/>
                <w:highlight w:val="none"/>
                <w:lang w:val="en-US" w:eastAsia="zh-CN" w:bidi="ar-SA"/>
              </w:rPr>
              <w:t>条</w:t>
            </w:r>
          </w:p>
        </w:tc>
        <w:tc>
          <w:tcPr>
            <w:tcW w:w="881" w:type="pct"/>
            <w:noWrap w:val="0"/>
            <w:vAlign w:val="center"/>
          </w:tcPr>
          <w:p w14:paraId="577D7F08">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hint="default" w:ascii="Times New Roman" w:hAnsi="Times New Roman" w:eastAsia="宋体" w:cs="Times New Roman"/>
                <w:b w:val="0"/>
                <w:bCs w:val="0"/>
                <w:color w:val="auto"/>
                <w:kern w:val="18"/>
                <w:sz w:val="21"/>
                <w:szCs w:val="21"/>
                <w:highlight w:val="none"/>
                <w:lang w:val="en-US" w:eastAsia="zh-CN" w:bidi="ar-SA"/>
              </w:rPr>
            </w:pPr>
            <w:r>
              <w:rPr>
                <w:rFonts w:hint="eastAsia" w:cs="Times New Roman"/>
                <w:b w:val="0"/>
                <w:bCs w:val="0"/>
                <w:color w:val="auto"/>
                <w:kern w:val="18"/>
                <w:sz w:val="21"/>
                <w:szCs w:val="21"/>
                <w:highlight w:val="none"/>
                <w:lang w:val="en-US" w:eastAsia="zh-CN" w:bidi="ar-SA"/>
              </w:rPr>
              <w:t>/</w:t>
            </w:r>
          </w:p>
        </w:tc>
        <w:tc>
          <w:tcPr>
            <w:tcW w:w="372" w:type="pct"/>
            <w:noWrap w:val="0"/>
            <w:vAlign w:val="center"/>
          </w:tcPr>
          <w:p w14:paraId="4C7F1557">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hint="eastAsia" w:eastAsia="宋体"/>
                <w:color w:val="auto"/>
                <w:lang w:val="en-US" w:eastAsia="zh-CN"/>
              </w:rPr>
            </w:pPr>
            <w:r>
              <w:rPr>
                <w:rFonts w:hint="eastAsia"/>
                <w:color w:val="auto"/>
                <w:lang w:val="en-US" w:eastAsia="zh-CN"/>
              </w:rPr>
              <w:t>/</w:t>
            </w:r>
          </w:p>
        </w:tc>
      </w:tr>
      <w:tr w14:paraId="24BBF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5000" w:type="pct"/>
            <w:gridSpan w:val="5"/>
            <w:noWrap w:val="0"/>
            <w:vAlign w:val="center"/>
          </w:tcPr>
          <w:p w14:paraId="5395F75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color w:val="auto"/>
                <w:sz w:val="21"/>
                <w:szCs w:val="21"/>
              </w:rPr>
              <w:t>建（构）筑物</w:t>
            </w:r>
          </w:p>
        </w:tc>
      </w:tr>
      <w:tr w14:paraId="6360D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8" w:hRule="atLeast"/>
        </w:trPr>
        <w:tc>
          <w:tcPr>
            <w:tcW w:w="234" w:type="pct"/>
            <w:noWrap w:val="0"/>
            <w:vAlign w:val="center"/>
          </w:tcPr>
          <w:p w14:paraId="26A9933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1</w:t>
            </w:r>
          </w:p>
        </w:tc>
        <w:tc>
          <w:tcPr>
            <w:tcW w:w="2693" w:type="pct"/>
            <w:noWrap w:val="0"/>
            <w:vAlign w:val="center"/>
          </w:tcPr>
          <w:p w14:paraId="537776B7">
            <w:pPr>
              <w:pStyle w:val="43"/>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作业区内的站房及其他附属建筑物的耐火等级不应低于二级。罩棚顶棚可采用无防火保护的钢结构。</w:t>
            </w:r>
          </w:p>
        </w:tc>
        <w:tc>
          <w:tcPr>
            <w:tcW w:w="818" w:type="pct"/>
            <w:noWrap w:val="0"/>
            <w:vAlign w:val="center"/>
          </w:tcPr>
          <w:p w14:paraId="34202E5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3039B52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4.2.1</w:t>
            </w:r>
            <w:r>
              <w:rPr>
                <w:rFonts w:hint="eastAsia" w:ascii="Times New Roman" w:hAnsi="Times New Roman" w:eastAsia="宋体" w:cs="Times New Roman"/>
                <w:color w:val="auto"/>
                <w:kern w:val="18"/>
                <w:sz w:val="21"/>
                <w:szCs w:val="21"/>
                <w:highlight w:val="none"/>
                <w:lang w:val="en-US" w:eastAsia="zh-CN" w:bidi="ar-SA"/>
              </w:rPr>
              <w:t>条</w:t>
            </w:r>
          </w:p>
        </w:tc>
        <w:tc>
          <w:tcPr>
            <w:tcW w:w="881" w:type="pct"/>
            <w:noWrap w:val="0"/>
            <w:vAlign w:val="center"/>
          </w:tcPr>
          <w:p w14:paraId="288AE43C">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hint="default" w:ascii="Times New Roman" w:hAnsi="Times New Roman" w:eastAsia="宋体"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作业区内无附属建筑物</w:t>
            </w:r>
          </w:p>
        </w:tc>
        <w:tc>
          <w:tcPr>
            <w:tcW w:w="372" w:type="pct"/>
            <w:noWrap w:val="0"/>
            <w:vAlign w:val="center"/>
          </w:tcPr>
          <w:p w14:paraId="5D1B7414">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rFonts w:hint="eastAsia"/>
                <w:color w:val="auto"/>
                <w:lang w:val="en-US" w:eastAsia="zh-CN"/>
              </w:rPr>
              <w:t>/</w:t>
            </w:r>
          </w:p>
        </w:tc>
      </w:tr>
      <w:tr w14:paraId="17486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8" w:hRule="atLeast"/>
        </w:trPr>
        <w:tc>
          <w:tcPr>
            <w:tcW w:w="234" w:type="pct"/>
            <w:noWrap w:val="0"/>
            <w:vAlign w:val="center"/>
          </w:tcPr>
          <w:p w14:paraId="1F303F8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2</w:t>
            </w:r>
          </w:p>
        </w:tc>
        <w:tc>
          <w:tcPr>
            <w:tcW w:w="2693" w:type="pct"/>
            <w:noWrap w:val="0"/>
            <w:vAlign w:val="center"/>
          </w:tcPr>
          <w:p w14:paraId="03573BBF">
            <w:pPr>
              <w:pStyle w:val="43"/>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color w:val="auto"/>
              </w:rPr>
            </w:pPr>
            <w:r>
              <w:rPr>
                <w:color w:val="auto"/>
              </w:rPr>
              <w:t>加油岛、加气岛、加氢岛的设计应符合下列规定：</w:t>
            </w:r>
          </w:p>
          <w:p w14:paraId="7C755476">
            <w:pPr>
              <w:pStyle w:val="43"/>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color w:val="auto"/>
              </w:rPr>
            </w:pPr>
            <w:r>
              <w:rPr>
                <w:color w:val="auto"/>
              </w:rPr>
              <w:t>1</w:t>
            </w:r>
            <w:r>
              <w:rPr>
                <w:rFonts w:hint="eastAsia"/>
                <w:color w:val="auto"/>
                <w:lang w:val="en-US" w:eastAsia="zh-CN"/>
              </w:rPr>
              <w:t>.</w:t>
            </w:r>
            <w:r>
              <w:rPr>
                <w:color w:val="auto"/>
              </w:rPr>
              <w:t xml:space="preserve"> 加油岛、加气岛、加氢岛应高出停车位的地坪0.15m ~0.2m。</w:t>
            </w:r>
          </w:p>
          <w:p w14:paraId="2B1F1873">
            <w:pPr>
              <w:pStyle w:val="43"/>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color w:val="auto"/>
              </w:rPr>
            </w:pPr>
            <w:r>
              <w:rPr>
                <w:color w:val="auto"/>
              </w:rPr>
              <w:t>2</w:t>
            </w:r>
            <w:r>
              <w:rPr>
                <w:rFonts w:hint="eastAsia"/>
                <w:color w:val="auto"/>
                <w:lang w:val="en-US" w:eastAsia="zh-CN"/>
              </w:rPr>
              <w:t>.</w:t>
            </w:r>
            <w:r>
              <w:rPr>
                <w:color w:val="auto"/>
              </w:rPr>
              <w:t xml:space="preserve"> 加油岛、加气岛、加氢岛两端的宽度不应小于1.2m。</w:t>
            </w:r>
          </w:p>
          <w:p w14:paraId="3027F70C">
            <w:pPr>
              <w:pStyle w:val="43"/>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color w:val="auto"/>
              </w:rPr>
            </w:pPr>
            <w:r>
              <w:rPr>
                <w:color w:val="auto"/>
              </w:rPr>
              <w:t>3</w:t>
            </w:r>
            <w:r>
              <w:rPr>
                <w:rFonts w:hint="eastAsia"/>
                <w:color w:val="auto"/>
                <w:lang w:val="en-US" w:eastAsia="zh-CN"/>
              </w:rPr>
              <w:t>.</w:t>
            </w:r>
            <w:r>
              <w:rPr>
                <w:color w:val="auto"/>
              </w:rPr>
              <w:t xml:space="preserve"> 加油岛、加气岛、加氢岛上的罩棚立柱边缘距岛端部，不应小于0.6m。</w:t>
            </w:r>
          </w:p>
          <w:p w14:paraId="143FFFFD">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4</w:t>
            </w:r>
            <w:r>
              <w:rPr>
                <w:rFonts w:hint="eastAsia"/>
                <w:color w:val="auto"/>
                <w:lang w:val="en-US" w:eastAsia="zh-CN"/>
              </w:rPr>
              <w:t>.</w:t>
            </w:r>
            <w:r>
              <w:rPr>
                <w:color w:val="auto"/>
              </w:rPr>
              <w:t xml:space="preserve"> 靠近岛端部的加油机、加气机、加氢机等岛上的工艺设备应有防止车辆误碰撞的措施和警示标识。采用钢管防撞柱（栏）时，其钢管的直径不应小于100mm，高度不应小0.5m，并应设置牢固。</w:t>
            </w:r>
          </w:p>
        </w:tc>
        <w:tc>
          <w:tcPr>
            <w:tcW w:w="818" w:type="pct"/>
            <w:noWrap w:val="0"/>
            <w:vAlign w:val="center"/>
          </w:tcPr>
          <w:p w14:paraId="30B0FF0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16E2A25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4.2.3</w:t>
            </w:r>
            <w:r>
              <w:rPr>
                <w:rFonts w:hint="eastAsia" w:ascii="Times New Roman" w:hAnsi="Times New Roman" w:eastAsia="宋体" w:cs="Times New Roman"/>
                <w:color w:val="auto"/>
                <w:kern w:val="18"/>
                <w:sz w:val="21"/>
                <w:szCs w:val="21"/>
                <w:highlight w:val="none"/>
                <w:lang w:val="en-US" w:eastAsia="zh-CN" w:bidi="ar-SA"/>
              </w:rPr>
              <w:t>条</w:t>
            </w:r>
          </w:p>
        </w:tc>
        <w:tc>
          <w:tcPr>
            <w:tcW w:w="881" w:type="pct"/>
            <w:noWrap w:val="0"/>
            <w:vAlign w:val="center"/>
          </w:tcPr>
          <w:p w14:paraId="683CE38D">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eastAsia" w:ascii="Times New Roman" w:hAnsi="Times New Roman" w:eastAsia="宋体" w:cs="Times New Roman"/>
                <w:color w:val="auto"/>
                <w:kern w:val="18"/>
                <w:sz w:val="21"/>
                <w:szCs w:val="21"/>
                <w:highlight w:val="none"/>
                <w:lang w:val="en-US" w:eastAsia="zh-CN" w:bidi="ar-SA"/>
              </w:rPr>
            </w:pPr>
            <w:r>
              <w:rPr>
                <w:color w:val="auto"/>
              </w:rPr>
              <w:t>加油</w:t>
            </w:r>
            <w:r>
              <w:rPr>
                <w:rFonts w:hint="eastAsia"/>
                <w:color w:val="auto"/>
                <w:lang w:val="en-US" w:eastAsia="zh-CN"/>
              </w:rPr>
              <w:t>装置基础顶面</w:t>
            </w:r>
            <w:r>
              <w:rPr>
                <w:color w:val="auto"/>
              </w:rPr>
              <w:t>高出</w:t>
            </w:r>
            <w:r>
              <w:rPr>
                <w:rFonts w:hint="eastAsia"/>
                <w:color w:val="auto"/>
                <w:lang w:val="en-US" w:eastAsia="zh-CN"/>
              </w:rPr>
              <w:t>周围</w:t>
            </w:r>
            <w:r>
              <w:rPr>
                <w:color w:val="auto"/>
              </w:rPr>
              <w:t>地坪0.2m，</w:t>
            </w:r>
            <w:r>
              <w:rPr>
                <w:rFonts w:hint="eastAsia"/>
                <w:color w:val="auto"/>
              </w:rPr>
              <w:t>未按设计要求设置防撞柱</w:t>
            </w:r>
            <w:r>
              <w:rPr>
                <w:rFonts w:hint="eastAsia"/>
                <w:color w:val="auto"/>
                <w:lang w:eastAsia="zh-CN"/>
              </w:rPr>
              <w:t>。</w:t>
            </w:r>
          </w:p>
        </w:tc>
        <w:tc>
          <w:tcPr>
            <w:tcW w:w="372" w:type="pct"/>
            <w:noWrap w:val="0"/>
            <w:vAlign w:val="center"/>
          </w:tcPr>
          <w:p w14:paraId="54195E81">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color w:val="auto"/>
              </w:rPr>
            </w:pPr>
            <w:r>
              <w:rPr>
                <w:rFonts w:hint="eastAsia"/>
                <w:color w:val="auto"/>
                <w:lang w:val="en-US" w:eastAsia="zh-CN"/>
              </w:rPr>
              <w:t>不</w:t>
            </w:r>
            <w:r>
              <w:rPr>
                <w:color w:val="auto"/>
              </w:rPr>
              <w:t>合格</w:t>
            </w:r>
          </w:p>
        </w:tc>
      </w:tr>
      <w:tr w14:paraId="6287D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8" w:hRule="atLeast"/>
        </w:trPr>
        <w:tc>
          <w:tcPr>
            <w:tcW w:w="234" w:type="pct"/>
            <w:noWrap w:val="0"/>
            <w:vAlign w:val="center"/>
          </w:tcPr>
          <w:p w14:paraId="3AE6A41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3</w:t>
            </w:r>
          </w:p>
        </w:tc>
        <w:tc>
          <w:tcPr>
            <w:tcW w:w="2693" w:type="pct"/>
            <w:noWrap w:val="0"/>
            <w:vAlign w:val="center"/>
          </w:tcPr>
          <w:p w14:paraId="20E2DAB5">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汽车加油加气加氢站内</w:t>
            </w:r>
            <w:r>
              <w:rPr>
                <w:rFonts w:hint="eastAsia"/>
                <w:color w:val="auto"/>
                <w:lang w:eastAsia="zh-CN"/>
              </w:rPr>
              <w:t>的工</w:t>
            </w:r>
            <w:r>
              <w:rPr>
                <w:color w:val="auto"/>
              </w:rPr>
              <w:t>艺设备不宜布置在封闭的房间或箱体内；工艺设备需要布置在封闭的房间或箱体内时，房间或箱体内应设置可燃气体检测报警器和强制通风设备，并应符合本标准第14.1.4条的规定。</w:t>
            </w:r>
          </w:p>
        </w:tc>
        <w:tc>
          <w:tcPr>
            <w:tcW w:w="818" w:type="pct"/>
            <w:noWrap w:val="0"/>
            <w:vAlign w:val="center"/>
          </w:tcPr>
          <w:p w14:paraId="0945511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1E2994C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4.2.7</w:t>
            </w:r>
            <w:r>
              <w:rPr>
                <w:rFonts w:hint="eastAsia" w:ascii="Times New Roman" w:hAnsi="Times New Roman" w:eastAsia="宋体" w:cs="Times New Roman"/>
                <w:color w:val="auto"/>
                <w:kern w:val="18"/>
                <w:sz w:val="21"/>
                <w:szCs w:val="21"/>
                <w:highlight w:val="none"/>
                <w:lang w:val="en-US" w:eastAsia="zh-CN" w:bidi="ar-SA"/>
              </w:rPr>
              <w:t>条</w:t>
            </w:r>
          </w:p>
        </w:tc>
        <w:tc>
          <w:tcPr>
            <w:tcW w:w="881" w:type="pct"/>
            <w:noWrap w:val="0"/>
            <w:vAlign w:val="center"/>
          </w:tcPr>
          <w:p w14:paraId="3EF3F7B0">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ascii="Times New Roman" w:hAnsi="Times New Roman" w:eastAsia="宋体" w:cs="Times New Roman"/>
                <w:color w:val="0000FF"/>
                <w:kern w:val="18"/>
                <w:sz w:val="21"/>
                <w:szCs w:val="21"/>
                <w:highlight w:val="none"/>
                <w:lang w:val="en-US" w:eastAsia="zh-CN" w:bidi="ar-SA"/>
              </w:rPr>
            </w:pPr>
            <w:r>
              <w:rPr>
                <w:rFonts w:hint="eastAsia"/>
                <w:color w:val="auto"/>
                <w:lang w:val="en-US" w:eastAsia="zh-CN"/>
              </w:rPr>
              <w:t>加油装置</w:t>
            </w:r>
            <w:r>
              <w:rPr>
                <w:color w:val="auto"/>
              </w:rPr>
              <w:t>箱体内设置可燃气体检测报警器</w:t>
            </w:r>
          </w:p>
        </w:tc>
        <w:tc>
          <w:tcPr>
            <w:tcW w:w="372" w:type="pct"/>
            <w:noWrap w:val="0"/>
            <w:vAlign w:val="center"/>
          </w:tcPr>
          <w:p w14:paraId="4A7F7D1D">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color w:val="0000FF"/>
              </w:rPr>
            </w:pPr>
            <w:r>
              <w:rPr>
                <w:color w:val="auto"/>
              </w:rPr>
              <w:t>合格</w:t>
            </w:r>
          </w:p>
        </w:tc>
      </w:tr>
      <w:tr w14:paraId="1F63A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8" w:hRule="atLeast"/>
        </w:trPr>
        <w:tc>
          <w:tcPr>
            <w:tcW w:w="234" w:type="pct"/>
            <w:noWrap w:val="0"/>
            <w:vAlign w:val="center"/>
          </w:tcPr>
          <w:p w14:paraId="408AD0F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4</w:t>
            </w:r>
          </w:p>
        </w:tc>
        <w:tc>
          <w:tcPr>
            <w:tcW w:w="2693" w:type="pct"/>
            <w:noWrap w:val="0"/>
            <w:vAlign w:val="center"/>
          </w:tcPr>
          <w:p w14:paraId="67033134">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站房的一部分位于作业区内时，该站房的建筑面积不宜超过300</w:t>
            </w:r>
            <w:r>
              <w:rPr>
                <w:rFonts w:hint="eastAsia"/>
                <w:color w:val="auto"/>
                <w:lang w:val="en-US" w:eastAsia="zh-CN"/>
              </w:rPr>
              <w:t>m</w:t>
            </w:r>
            <w:r>
              <w:rPr>
                <w:rFonts w:hint="eastAsia"/>
                <w:color w:val="auto"/>
                <w:vertAlign w:val="superscript"/>
                <w:lang w:val="en-US" w:eastAsia="zh-CN"/>
              </w:rPr>
              <w:t>2</w:t>
            </w:r>
            <w:r>
              <w:rPr>
                <w:color w:val="auto"/>
              </w:rPr>
              <w:t>，且该站房内不得有明火设备。</w:t>
            </w:r>
          </w:p>
        </w:tc>
        <w:tc>
          <w:tcPr>
            <w:tcW w:w="818" w:type="pct"/>
            <w:noWrap w:val="0"/>
            <w:vAlign w:val="center"/>
          </w:tcPr>
          <w:p w14:paraId="57B4F9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40E562B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4.2.10</w:t>
            </w:r>
            <w:r>
              <w:rPr>
                <w:rFonts w:hint="eastAsia" w:ascii="Times New Roman" w:hAnsi="Times New Roman" w:eastAsia="宋体" w:cs="Times New Roman"/>
                <w:color w:val="auto"/>
                <w:kern w:val="18"/>
                <w:sz w:val="21"/>
                <w:szCs w:val="21"/>
                <w:highlight w:val="none"/>
                <w:lang w:val="en-US" w:eastAsia="zh-CN" w:bidi="ar-SA"/>
              </w:rPr>
              <w:t>条</w:t>
            </w:r>
          </w:p>
        </w:tc>
        <w:tc>
          <w:tcPr>
            <w:tcW w:w="881" w:type="pct"/>
            <w:noWrap w:val="0"/>
            <w:vAlign w:val="center"/>
          </w:tcPr>
          <w:p w14:paraId="3212A4D6">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ascii="Times New Roman" w:hAnsi="Times New Roman" w:eastAsia="宋体" w:cs="Times New Roman"/>
                <w:color w:val="0000FF"/>
                <w:kern w:val="18"/>
                <w:sz w:val="21"/>
                <w:szCs w:val="21"/>
                <w:highlight w:val="none"/>
                <w:lang w:val="en-US" w:eastAsia="zh-CN" w:bidi="ar-SA"/>
              </w:rPr>
            </w:pPr>
            <w:r>
              <w:rPr>
                <w:color w:val="auto"/>
              </w:rPr>
              <w:t>无明火设备</w:t>
            </w:r>
          </w:p>
        </w:tc>
        <w:tc>
          <w:tcPr>
            <w:tcW w:w="372" w:type="pct"/>
            <w:noWrap w:val="0"/>
            <w:vAlign w:val="center"/>
          </w:tcPr>
          <w:p w14:paraId="6058639D">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color w:val="0000FF"/>
              </w:rPr>
            </w:pPr>
            <w:r>
              <w:rPr>
                <w:color w:val="auto"/>
              </w:rPr>
              <w:t>合格</w:t>
            </w:r>
          </w:p>
        </w:tc>
      </w:tr>
      <w:tr w14:paraId="50B31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8" w:hRule="atLeast"/>
        </w:trPr>
        <w:tc>
          <w:tcPr>
            <w:tcW w:w="234" w:type="pct"/>
            <w:noWrap w:val="0"/>
            <w:vAlign w:val="center"/>
          </w:tcPr>
          <w:p w14:paraId="3D75EB9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5</w:t>
            </w:r>
          </w:p>
        </w:tc>
        <w:tc>
          <w:tcPr>
            <w:tcW w:w="2693" w:type="pct"/>
            <w:noWrap w:val="0"/>
            <w:vAlign w:val="center"/>
          </w:tcPr>
          <w:p w14:paraId="5AE91FB8">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辅助服务区内建筑物的面积不应超过本标准附录B中三类保护物标准，其消防设计应符合现行国家</w:t>
            </w:r>
            <w:r>
              <w:rPr>
                <w:rFonts w:hint="eastAsia"/>
                <w:color w:val="auto"/>
                <w:lang w:eastAsia="zh-CN"/>
              </w:rPr>
              <w:t>标准</w:t>
            </w:r>
            <w:r>
              <w:rPr>
                <w:color w:val="auto"/>
              </w:rPr>
              <w:t>《建筑设计防火规范》GB50016的有关规定。</w:t>
            </w:r>
          </w:p>
        </w:tc>
        <w:tc>
          <w:tcPr>
            <w:tcW w:w="818" w:type="pct"/>
            <w:noWrap w:val="0"/>
            <w:vAlign w:val="center"/>
          </w:tcPr>
          <w:p w14:paraId="195EE5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48ED2DC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4.2.11</w:t>
            </w:r>
            <w:r>
              <w:rPr>
                <w:rFonts w:hint="eastAsia" w:ascii="Times New Roman" w:hAnsi="Times New Roman" w:eastAsia="宋体" w:cs="Times New Roman"/>
                <w:color w:val="auto"/>
                <w:kern w:val="18"/>
                <w:sz w:val="21"/>
                <w:szCs w:val="21"/>
                <w:highlight w:val="none"/>
                <w:lang w:val="en-US" w:eastAsia="zh-CN" w:bidi="ar-SA"/>
              </w:rPr>
              <w:t>条</w:t>
            </w:r>
          </w:p>
        </w:tc>
        <w:tc>
          <w:tcPr>
            <w:tcW w:w="881" w:type="pct"/>
            <w:noWrap w:val="0"/>
            <w:vAlign w:val="center"/>
          </w:tcPr>
          <w:p w14:paraId="4DD57A1D">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ascii="Times New Roman" w:hAnsi="Times New Roman" w:eastAsia="宋体" w:cs="Times New Roman"/>
                <w:color w:val="0000FF"/>
                <w:kern w:val="18"/>
                <w:sz w:val="21"/>
                <w:szCs w:val="21"/>
                <w:highlight w:val="none"/>
                <w:lang w:val="en-US" w:eastAsia="zh-CN" w:bidi="ar-SA"/>
              </w:rPr>
            </w:pPr>
            <w:r>
              <w:rPr>
                <w:color w:val="auto"/>
              </w:rPr>
              <w:t>消防设计符合现行国家</w:t>
            </w:r>
            <w:r>
              <w:rPr>
                <w:rFonts w:hint="eastAsia"/>
                <w:color w:val="auto"/>
                <w:lang w:eastAsia="zh-CN"/>
              </w:rPr>
              <w:t>标准</w:t>
            </w:r>
            <w:r>
              <w:rPr>
                <w:color w:val="auto"/>
              </w:rPr>
              <w:t>《建筑设计防火规范》GB50016的有关规定</w:t>
            </w:r>
          </w:p>
        </w:tc>
        <w:tc>
          <w:tcPr>
            <w:tcW w:w="372" w:type="pct"/>
            <w:noWrap w:val="0"/>
            <w:vAlign w:val="center"/>
          </w:tcPr>
          <w:p w14:paraId="3FB674D1">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color w:val="0000FF"/>
              </w:rPr>
            </w:pPr>
            <w:r>
              <w:rPr>
                <w:rFonts w:hint="eastAsia"/>
                <w:color w:val="auto"/>
                <w:lang w:val="en-US" w:eastAsia="zh-CN"/>
              </w:rPr>
              <w:t>合格</w:t>
            </w:r>
          </w:p>
        </w:tc>
      </w:tr>
      <w:tr w14:paraId="787B5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8" w:hRule="atLeast"/>
        </w:trPr>
        <w:tc>
          <w:tcPr>
            <w:tcW w:w="234" w:type="pct"/>
            <w:noWrap w:val="0"/>
            <w:vAlign w:val="center"/>
          </w:tcPr>
          <w:p w14:paraId="72744DB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6</w:t>
            </w:r>
          </w:p>
        </w:tc>
        <w:tc>
          <w:tcPr>
            <w:tcW w:w="2693" w:type="pct"/>
            <w:noWrap w:val="0"/>
            <w:vAlign w:val="center"/>
          </w:tcPr>
          <w:p w14:paraId="231E81CC">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站房可与设置在辅助服务区内的餐厅、汽车服务、锅炉房、厨房、员工宿舍、司机休息室等设施合建，但站房与餐厅、汽车服务、锅炉房、厨房、员工宿舍、司机休息室等设施之间应设置无门窗洞口，且耐火极限不低于3h的实体墙。</w:t>
            </w:r>
          </w:p>
        </w:tc>
        <w:tc>
          <w:tcPr>
            <w:tcW w:w="818" w:type="pct"/>
            <w:noWrap w:val="0"/>
            <w:vAlign w:val="center"/>
          </w:tcPr>
          <w:p w14:paraId="2244564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0F3589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4.2.12</w:t>
            </w:r>
            <w:r>
              <w:rPr>
                <w:rFonts w:hint="eastAsia" w:ascii="Times New Roman" w:hAnsi="Times New Roman" w:eastAsia="宋体" w:cs="Times New Roman"/>
                <w:color w:val="auto"/>
                <w:kern w:val="18"/>
                <w:sz w:val="21"/>
                <w:szCs w:val="21"/>
                <w:highlight w:val="none"/>
                <w:lang w:val="en-US" w:eastAsia="zh-CN" w:bidi="ar-SA"/>
              </w:rPr>
              <w:t>条</w:t>
            </w:r>
          </w:p>
        </w:tc>
        <w:tc>
          <w:tcPr>
            <w:tcW w:w="881" w:type="pct"/>
            <w:noWrap w:val="0"/>
            <w:vAlign w:val="center"/>
          </w:tcPr>
          <w:p w14:paraId="15632F55">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ascii="Times New Roman" w:hAnsi="Times New Roman" w:eastAsia="宋体" w:cs="Times New Roman"/>
                <w:color w:val="0000FF"/>
                <w:kern w:val="18"/>
                <w:sz w:val="21"/>
                <w:szCs w:val="21"/>
                <w:highlight w:val="none"/>
                <w:lang w:val="en-US" w:eastAsia="zh-CN" w:bidi="ar-SA"/>
              </w:rPr>
            </w:pPr>
            <w:r>
              <w:rPr>
                <w:rFonts w:hint="eastAsia"/>
                <w:color w:val="auto"/>
                <w:lang w:val="en-US" w:eastAsia="zh-CN"/>
              </w:rPr>
              <w:t>未设置所述设施</w:t>
            </w:r>
          </w:p>
        </w:tc>
        <w:tc>
          <w:tcPr>
            <w:tcW w:w="372" w:type="pct"/>
            <w:noWrap w:val="0"/>
            <w:vAlign w:val="center"/>
          </w:tcPr>
          <w:p w14:paraId="2E63C085">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color w:val="0000FF"/>
              </w:rPr>
            </w:pPr>
            <w:r>
              <w:rPr>
                <w:rFonts w:hint="eastAsia"/>
                <w:color w:val="auto"/>
                <w:lang w:val="en-US" w:eastAsia="zh-CN"/>
              </w:rPr>
              <w:t>/</w:t>
            </w:r>
          </w:p>
        </w:tc>
      </w:tr>
      <w:tr w14:paraId="35C21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67" w:hRule="atLeast"/>
        </w:trPr>
        <w:tc>
          <w:tcPr>
            <w:tcW w:w="234" w:type="pct"/>
            <w:noWrap w:val="0"/>
            <w:vAlign w:val="center"/>
          </w:tcPr>
          <w:p w14:paraId="7BFB8B6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7</w:t>
            </w:r>
          </w:p>
        </w:tc>
        <w:tc>
          <w:tcPr>
            <w:tcW w:w="2693" w:type="pct"/>
            <w:noWrap w:val="0"/>
            <w:vAlign w:val="center"/>
          </w:tcPr>
          <w:p w14:paraId="3BE87D68">
            <w:pPr>
              <w:pStyle w:val="43"/>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color w:val="auto"/>
              </w:rPr>
            </w:pPr>
            <w:r>
              <w:rPr>
                <w:color w:val="auto"/>
              </w:rPr>
              <w:t>站房可设在站外民用建筑物内或与站外民用建筑物合建，并应符合下列规定：</w:t>
            </w:r>
          </w:p>
          <w:p w14:paraId="029D53BC">
            <w:pPr>
              <w:pStyle w:val="43"/>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color w:val="auto"/>
              </w:rPr>
            </w:pPr>
            <w:r>
              <w:rPr>
                <w:color w:val="auto"/>
              </w:rPr>
              <w:t>1</w:t>
            </w:r>
            <w:r>
              <w:rPr>
                <w:rFonts w:hint="eastAsia"/>
                <w:color w:val="auto"/>
                <w:lang w:val="en-US" w:eastAsia="zh-CN"/>
              </w:rPr>
              <w:t>.</w:t>
            </w:r>
            <w:r>
              <w:rPr>
                <w:color w:val="auto"/>
              </w:rPr>
              <w:t xml:space="preserve"> 站房与民用建筑物之间不得有连接通道。</w:t>
            </w:r>
          </w:p>
          <w:p w14:paraId="5A512095">
            <w:pPr>
              <w:pStyle w:val="43"/>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color w:val="auto"/>
              </w:rPr>
            </w:pPr>
            <w:r>
              <w:rPr>
                <w:color w:val="auto"/>
              </w:rPr>
              <w:t>2</w:t>
            </w:r>
            <w:r>
              <w:rPr>
                <w:rFonts w:hint="eastAsia"/>
                <w:color w:val="auto"/>
                <w:lang w:val="en-US" w:eastAsia="zh-CN"/>
              </w:rPr>
              <w:t>.</w:t>
            </w:r>
            <w:r>
              <w:rPr>
                <w:color w:val="auto"/>
              </w:rPr>
              <w:t xml:space="preserve"> 站房应单独开设通向汽车加油加气加氢站的出入口。</w:t>
            </w:r>
          </w:p>
          <w:p w14:paraId="479729D0">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3</w:t>
            </w:r>
            <w:r>
              <w:rPr>
                <w:rFonts w:hint="eastAsia"/>
                <w:color w:val="auto"/>
                <w:lang w:val="en-US" w:eastAsia="zh-CN"/>
              </w:rPr>
              <w:t>.</w:t>
            </w:r>
            <w:r>
              <w:rPr>
                <w:color w:val="auto"/>
              </w:rPr>
              <w:t xml:space="preserve"> 民用建筑物不得有直接通向汽车加油加气加氢站的出入口。</w:t>
            </w:r>
          </w:p>
        </w:tc>
        <w:tc>
          <w:tcPr>
            <w:tcW w:w="818" w:type="pct"/>
            <w:noWrap w:val="0"/>
            <w:vAlign w:val="center"/>
          </w:tcPr>
          <w:p w14:paraId="7B5613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03BC97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4.2.13</w:t>
            </w:r>
            <w:r>
              <w:rPr>
                <w:rFonts w:hint="eastAsia" w:ascii="Times New Roman" w:hAnsi="Times New Roman" w:eastAsia="宋体" w:cs="Times New Roman"/>
                <w:color w:val="auto"/>
                <w:kern w:val="18"/>
                <w:sz w:val="21"/>
                <w:szCs w:val="21"/>
                <w:highlight w:val="none"/>
                <w:lang w:val="en-US" w:eastAsia="zh-CN" w:bidi="ar-SA"/>
              </w:rPr>
              <w:t>条</w:t>
            </w:r>
          </w:p>
        </w:tc>
        <w:tc>
          <w:tcPr>
            <w:tcW w:w="881" w:type="pct"/>
            <w:noWrap w:val="0"/>
            <w:vAlign w:val="center"/>
          </w:tcPr>
          <w:p w14:paraId="6717B261">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ascii="Times New Roman" w:hAnsi="Times New Roman" w:eastAsia="宋体" w:cs="Times New Roman"/>
                <w:color w:val="0000FF"/>
                <w:kern w:val="18"/>
                <w:sz w:val="21"/>
                <w:szCs w:val="21"/>
                <w:highlight w:val="none"/>
                <w:lang w:val="en-US" w:eastAsia="zh-CN" w:bidi="ar-SA"/>
              </w:rPr>
            </w:pPr>
            <w:r>
              <w:rPr>
                <w:color w:val="auto"/>
              </w:rPr>
              <w:t>/</w:t>
            </w:r>
          </w:p>
        </w:tc>
        <w:tc>
          <w:tcPr>
            <w:tcW w:w="372" w:type="pct"/>
            <w:noWrap w:val="0"/>
            <w:vAlign w:val="center"/>
          </w:tcPr>
          <w:p w14:paraId="65F68DCF">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color w:val="0000FF"/>
              </w:rPr>
            </w:pPr>
            <w:r>
              <w:rPr>
                <w:color w:val="auto"/>
              </w:rPr>
              <w:t>/</w:t>
            </w:r>
          </w:p>
        </w:tc>
      </w:tr>
      <w:tr w14:paraId="4E76C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8" w:hRule="atLeast"/>
        </w:trPr>
        <w:tc>
          <w:tcPr>
            <w:tcW w:w="234" w:type="pct"/>
            <w:noWrap w:val="0"/>
            <w:vAlign w:val="center"/>
          </w:tcPr>
          <w:p w14:paraId="4A66291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8</w:t>
            </w:r>
          </w:p>
        </w:tc>
        <w:tc>
          <w:tcPr>
            <w:tcW w:w="2693" w:type="pct"/>
            <w:noWrap w:val="0"/>
            <w:vAlign w:val="center"/>
          </w:tcPr>
          <w:p w14:paraId="2B06ED5A">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站内的锅炉房、厨房等有明火设备的房间与工艺设备之间的距离符合表5.0.13的规定但小于或等于25m时，朝向作业区的外墙应为无门窗洞口且耐火极限不低于3h的实体墙。</w:t>
            </w:r>
          </w:p>
        </w:tc>
        <w:tc>
          <w:tcPr>
            <w:tcW w:w="818" w:type="pct"/>
            <w:noWrap w:val="0"/>
            <w:vAlign w:val="center"/>
          </w:tcPr>
          <w:p w14:paraId="33BD0FB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4BCE152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bCs/>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4.2.14</w:t>
            </w:r>
            <w:r>
              <w:rPr>
                <w:rFonts w:hint="eastAsia" w:ascii="Times New Roman" w:hAnsi="Times New Roman" w:eastAsia="宋体" w:cs="Times New Roman"/>
                <w:color w:val="auto"/>
                <w:kern w:val="18"/>
                <w:sz w:val="21"/>
                <w:szCs w:val="21"/>
                <w:highlight w:val="none"/>
                <w:lang w:val="en-US" w:eastAsia="zh-CN" w:bidi="ar-SA"/>
              </w:rPr>
              <w:t>条</w:t>
            </w:r>
          </w:p>
        </w:tc>
        <w:tc>
          <w:tcPr>
            <w:tcW w:w="881" w:type="pct"/>
            <w:noWrap w:val="0"/>
            <w:vAlign w:val="center"/>
          </w:tcPr>
          <w:p w14:paraId="0AC6ECD7">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ascii="Times New Roman" w:hAnsi="Times New Roman" w:eastAsia="宋体" w:cs="Times New Roman"/>
                <w:color w:val="0000FF"/>
                <w:kern w:val="18"/>
                <w:sz w:val="21"/>
                <w:szCs w:val="21"/>
                <w:highlight w:val="none"/>
                <w:lang w:val="en-US" w:eastAsia="zh-CN" w:bidi="ar-SA"/>
              </w:rPr>
            </w:pPr>
            <w:r>
              <w:rPr>
                <w:color w:val="auto"/>
              </w:rPr>
              <w:t>/</w:t>
            </w:r>
          </w:p>
        </w:tc>
        <w:tc>
          <w:tcPr>
            <w:tcW w:w="372" w:type="pct"/>
            <w:noWrap w:val="0"/>
            <w:vAlign w:val="center"/>
          </w:tcPr>
          <w:p w14:paraId="1AD2BFEF">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color w:val="0000FF"/>
              </w:rPr>
            </w:pPr>
            <w:r>
              <w:rPr>
                <w:color w:val="auto"/>
              </w:rPr>
              <w:t>/</w:t>
            </w:r>
          </w:p>
        </w:tc>
      </w:tr>
      <w:tr w14:paraId="16C79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8" w:hRule="atLeast"/>
        </w:trPr>
        <w:tc>
          <w:tcPr>
            <w:tcW w:w="234" w:type="pct"/>
            <w:noWrap w:val="0"/>
            <w:vAlign w:val="center"/>
          </w:tcPr>
          <w:p w14:paraId="35E2FA0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9</w:t>
            </w:r>
          </w:p>
        </w:tc>
        <w:tc>
          <w:tcPr>
            <w:tcW w:w="2693" w:type="pct"/>
            <w:noWrap w:val="0"/>
            <w:vAlign w:val="center"/>
          </w:tcPr>
          <w:p w14:paraId="541CB123">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加油站、LPG加气站、LNG加气站和L-CNG加气站内不应建地下和半地下室，消防水池应具有通风条件。</w:t>
            </w:r>
          </w:p>
        </w:tc>
        <w:tc>
          <w:tcPr>
            <w:tcW w:w="818" w:type="pct"/>
            <w:noWrap w:val="0"/>
            <w:vAlign w:val="center"/>
          </w:tcPr>
          <w:p w14:paraId="0DB97A5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1E7ED88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4.2.15</w:t>
            </w:r>
            <w:r>
              <w:rPr>
                <w:rFonts w:hint="eastAsia" w:ascii="Times New Roman" w:hAnsi="Times New Roman" w:eastAsia="宋体" w:cs="Times New Roman"/>
                <w:color w:val="auto"/>
                <w:kern w:val="18"/>
                <w:sz w:val="21"/>
                <w:szCs w:val="21"/>
                <w:highlight w:val="none"/>
                <w:lang w:val="en-US" w:eastAsia="zh-CN" w:bidi="ar-SA"/>
              </w:rPr>
              <w:t>条</w:t>
            </w:r>
          </w:p>
        </w:tc>
        <w:tc>
          <w:tcPr>
            <w:tcW w:w="881" w:type="pct"/>
            <w:noWrap w:val="0"/>
            <w:vAlign w:val="center"/>
          </w:tcPr>
          <w:p w14:paraId="15B75C5A">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ascii="Times New Roman" w:hAnsi="Times New Roman" w:eastAsia="宋体" w:cs="Times New Roman"/>
                <w:color w:val="0000FF"/>
                <w:kern w:val="18"/>
                <w:sz w:val="21"/>
                <w:szCs w:val="21"/>
                <w:highlight w:val="none"/>
                <w:lang w:val="en-US" w:eastAsia="zh-CN" w:bidi="ar-SA"/>
              </w:rPr>
            </w:pPr>
            <w:r>
              <w:rPr>
                <w:color w:val="auto"/>
              </w:rPr>
              <w:t>未建在地下和半地下室</w:t>
            </w:r>
          </w:p>
        </w:tc>
        <w:tc>
          <w:tcPr>
            <w:tcW w:w="372" w:type="pct"/>
            <w:noWrap w:val="0"/>
            <w:vAlign w:val="center"/>
          </w:tcPr>
          <w:p w14:paraId="6D7E46F5">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color w:val="0000FF"/>
              </w:rPr>
            </w:pPr>
            <w:r>
              <w:rPr>
                <w:color w:val="auto"/>
              </w:rPr>
              <w:t>合格</w:t>
            </w:r>
          </w:p>
        </w:tc>
      </w:tr>
      <w:tr w14:paraId="0BBEA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8" w:hRule="atLeast"/>
        </w:trPr>
        <w:tc>
          <w:tcPr>
            <w:tcW w:w="234" w:type="pct"/>
            <w:noWrap w:val="0"/>
            <w:vAlign w:val="center"/>
          </w:tcPr>
          <w:p w14:paraId="5A5696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10</w:t>
            </w:r>
          </w:p>
        </w:tc>
        <w:tc>
          <w:tcPr>
            <w:tcW w:w="2693" w:type="pct"/>
            <w:noWrap w:val="0"/>
            <w:vAlign w:val="center"/>
          </w:tcPr>
          <w:p w14:paraId="578EB49B">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埋地油罐和埋地LPG储罐的操作井、位于作业区的排水井应采取防渗漏措施，位于爆炸危险区域内的操作井和排水井应有防止产生火花的措施。</w:t>
            </w:r>
          </w:p>
        </w:tc>
        <w:tc>
          <w:tcPr>
            <w:tcW w:w="818" w:type="pct"/>
            <w:noWrap w:val="0"/>
            <w:vAlign w:val="center"/>
          </w:tcPr>
          <w:p w14:paraId="6E9C61F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245C817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2.2.16</w:t>
            </w:r>
            <w:r>
              <w:rPr>
                <w:rFonts w:hint="eastAsia" w:ascii="Times New Roman" w:hAnsi="Times New Roman" w:eastAsia="宋体" w:cs="Times New Roman"/>
                <w:color w:val="auto"/>
                <w:kern w:val="18"/>
                <w:sz w:val="21"/>
                <w:szCs w:val="21"/>
                <w:highlight w:val="none"/>
                <w:lang w:val="en-US" w:eastAsia="zh-CN" w:bidi="ar-SA"/>
              </w:rPr>
              <w:t>条</w:t>
            </w:r>
          </w:p>
        </w:tc>
        <w:tc>
          <w:tcPr>
            <w:tcW w:w="881" w:type="pct"/>
            <w:noWrap w:val="0"/>
            <w:vAlign w:val="center"/>
          </w:tcPr>
          <w:p w14:paraId="43ED0C54">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ascii="Times New Roman" w:hAnsi="Times New Roman" w:eastAsia="宋体" w:cs="Times New Roman"/>
                <w:color w:val="0000FF"/>
                <w:kern w:val="18"/>
                <w:sz w:val="21"/>
                <w:szCs w:val="21"/>
                <w:highlight w:val="none"/>
                <w:lang w:val="en-US" w:eastAsia="zh-CN" w:bidi="ar-SA"/>
              </w:rPr>
            </w:pPr>
            <w:r>
              <w:rPr>
                <w:rFonts w:hint="eastAsia"/>
                <w:color w:val="auto"/>
                <w:lang w:val="en-US" w:eastAsia="zh-CN"/>
              </w:rPr>
              <w:t>地上油罐</w:t>
            </w:r>
          </w:p>
        </w:tc>
        <w:tc>
          <w:tcPr>
            <w:tcW w:w="372" w:type="pct"/>
            <w:noWrap w:val="0"/>
            <w:vAlign w:val="center"/>
          </w:tcPr>
          <w:p w14:paraId="775FEE61">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color w:val="0000FF"/>
              </w:rPr>
            </w:pPr>
            <w:r>
              <w:rPr>
                <w:rFonts w:hint="eastAsia"/>
                <w:color w:val="auto"/>
                <w:lang w:val="en-US" w:eastAsia="zh-CN"/>
              </w:rPr>
              <w:t>/</w:t>
            </w:r>
          </w:p>
        </w:tc>
      </w:tr>
      <w:tr w14:paraId="4CF61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4" w:hRule="atLeast"/>
        </w:trPr>
        <w:tc>
          <w:tcPr>
            <w:tcW w:w="5000" w:type="pct"/>
            <w:gridSpan w:val="5"/>
            <w:noWrap w:val="0"/>
            <w:vAlign w:val="center"/>
          </w:tcPr>
          <w:p w14:paraId="52CA57D1">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绿化</w:t>
            </w:r>
          </w:p>
        </w:tc>
      </w:tr>
      <w:tr w14:paraId="273D5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34" w:type="pct"/>
            <w:noWrap w:val="0"/>
            <w:vAlign w:val="center"/>
          </w:tcPr>
          <w:p w14:paraId="483CC92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18"/>
                <w:sz w:val="21"/>
                <w:szCs w:val="21"/>
                <w:highlight w:val="none"/>
                <w:lang w:val="en-US" w:eastAsia="zh-CN" w:bidi="ar-SA"/>
              </w:rPr>
            </w:pPr>
            <w:r>
              <w:rPr>
                <w:rFonts w:hint="eastAsia" w:cs="Times New Roman"/>
                <w:color w:val="auto"/>
                <w:kern w:val="18"/>
                <w:sz w:val="21"/>
                <w:szCs w:val="21"/>
                <w:highlight w:val="none"/>
                <w:lang w:val="en-US" w:eastAsia="zh-CN" w:bidi="ar-SA"/>
              </w:rPr>
              <w:t>1</w:t>
            </w:r>
          </w:p>
        </w:tc>
        <w:tc>
          <w:tcPr>
            <w:tcW w:w="2693" w:type="pct"/>
            <w:noWrap w:val="0"/>
            <w:vAlign w:val="center"/>
          </w:tcPr>
          <w:p w14:paraId="47D6934F">
            <w:pPr>
              <w:pStyle w:val="43"/>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left"/>
              <w:textAlignment w:val="auto"/>
              <w:rPr>
                <w:rFonts w:ascii="Times New Roman" w:hAnsi="Times New Roman" w:eastAsia="宋体" w:cs="Times New Roman"/>
                <w:color w:val="auto"/>
                <w:kern w:val="18"/>
                <w:sz w:val="21"/>
                <w:szCs w:val="21"/>
                <w:highlight w:val="none"/>
                <w:lang w:val="en-US" w:eastAsia="zh-CN" w:bidi="ar-SA"/>
              </w:rPr>
            </w:pPr>
            <w:r>
              <w:rPr>
                <w:color w:val="auto"/>
              </w:rPr>
              <w:t>汽车加油加气加氢站作业区内不得种植油性植物。</w:t>
            </w:r>
          </w:p>
        </w:tc>
        <w:tc>
          <w:tcPr>
            <w:tcW w:w="818" w:type="pct"/>
            <w:noWrap w:val="0"/>
            <w:vAlign w:val="center"/>
          </w:tcPr>
          <w:p w14:paraId="42946EE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汽车加油加气加氢站技术标准GB50156-2021</w:t>
            </w:r>
          </w:p>
          <w:p w14:paraId="52CAABB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18"/>
                <w:sz w:val="21"/>
                <w:szCs w:val="21"/>
                <w:highlight w:val="none"/>
                <w:lang w:val="en-US" w:eastAsia="zh-CN" w:bidi="ar-SA"/>
              </w:rPr>
            </w:pPr>
            <w:r>
              <w:rPr>
                <w:rFonts w:hint="eastAsia" w:ascii="Times New Roman" w:hAnsi="Times New Roman" w:eastAsia="宋体" w:cs="Times New Roman"/>
                <w:color w:val="auto"/>
                <w:kern w:val="18"/>
                <w:sz w:val="21"/>
                <w:szCs w:val="21"/>
                <w:highlight w:val="none"/>
                <w:lang w:val="en-US" w:eastAsia="zh-CN" w:bidi="ar-SA"/>
              </w:rPr>
              <w:t>第1</w:t>
            </w:r>
            <w:r>
              <w:rPr>
                <w:rFonts w:hint="eastAsia" w:cs="Times New Roman"/>
                <w:color w:val="auto"/>
                <w:kern w:val="18"/>
                <w:sz w:val="21"/>
                <w:szCs w:val="21"/>
                <w:highlight w:val="none"/>
                <w:lang w:val="en-US" w:eastAsia="zh-CN" w:bidi="ar-SA"/>
              </w:rPr>
              <w:t>4.3.1</w:t>
            </w:r>
            <w:r>
              <w:rPr>
                <w:rFonts w:hint="eastAsia" w:ascii="Times New Roman" w:hAnsi="Times New Roman" w:eastAsia="宋体" w:cs="Times New Roman"/>
                <w:color w:val="auto"/>
                <w:kern w:val="18"/>
                <w:sz w:val="21"/>
                <w:szCs w:val="21"/>
                <w:highlight w:val="none"/>
                <w:lang w:val="en-US" w:eastAsia="zh-CN" w:bidi="ar-SA"/>
              </w:rPr>
              <w:t>条</w:t>
            </w:r>
          </w:p>
        </w:tc>
        <w:tc>
          <w:tcPr>
            <w:tcW w:w="881" w:type="pct"/>
            <w:noWrap w:val="0"/>
            <w:vAlign w:val="center"/>
          </w:tcPr>
          <w:p w14:paraId="03E51CBB">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color w:val="auto"/>
              </w:rPr>
              <w:t>作业区内无油性植物</w:t>
            </w:r>
          </w:p>
        </w:tc>
        <w:tc>
          <w:tcPr>
            <w:tcW w:w="372" w:type="pct"/>
            <w:noWrap w:val="0"/>
            <w:vAlign w:val="center"/>
          </w:tcPr>
          <w:p w14:paraId="463C3894">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ascii="Times New Roman" w:hAnsi="Times New Roman" w:eastAsia="宋体" w:cs="Times New Roman"/>
                <w:color w:val="auto"/>
                <w:kern w:val="18"/>
                <w:sz w:val="21"/>
                <w:szCs w:val="21"/>
                <w:highlight w:val="none"/>
                <w:lang w:val="en-US" w:eastAsia="zh-CN" w:bidi="ar-SA"/>
              </w:rPr>
            </w:pPr>
            <w:r>
              <w:rPr>
                <w:color w:val="auto"/>
              </w:rPr>
              <w:t>合格</w:t>
            </w:r>
          </w:p>
        </w:tc>
      </w:tr>
    </w:tbl>
    <w:p w14:paraId="26CBBE9B">
      <w:pPr>
        <w:pStyle w:val="3"/>
        <w:bidi w:val="0"/>
        <w:rPr>
          <w:rFonts w:hint="default"/>
          <w:lang w:val="en-US" w:eastAsia="zh-CN"/>
        </w:rPr>
      </w:pPr>
      <w:bookmarkStart w:id="111" w:name="_Toc9318"/>
      <w:r>
        <w:rPr>
          <w:rFonts w:hint="default"/>
          <w:lang w:val="en-US" w:eastAsia="zh-CN"/>
        </w:rPr>
        <w:t>F3.5 安全管理评价单元安全检查表</w:t>
      </w:r>
      <w:bookmarkEnd w:id="111"/>
    </w:p>
    <w:p w14:paraId="78769875">
      <w:pPr>
        <w:rPr>
          <w:rFonts w:hint="default"/>
          <w:lang w:val="en-US" w:eastAsia="zh-CN"/>
        </w:rPr>
      </w:pPr>
      <w:r>
        <w:rPr>
          <w:rFonts w:hint="default"/>
          <w:lang w:val="en-US" w:eastAsia="zh-CN"/>
        </w:rPr>
        <w:t>根据江西省应急管理厅办公室关于印发《加油站安全检查表》的通知（赣应急办字</w:t>
      </w:r>
      <w:r>
        <w:rPr>
          <w:rFonts w:hint="eastAsia" w:ascii="宋体" w:hAnsi="宋体" w:eastAsia="宋体" w:cs="宋体"/>
          <w:lang w:val="en-US" w:eastAsia="zh-CN"/>
        </w:rPr>
        <w:t>[</w:t>
      </w:r>
      <w:r>
        <w:rPr>
          <w:rFonts w:hint="default"/>
          <w:lang w:val="en-US" w:eastAsia="zh-CN"/>
        </w:rPr>
        <w:t>2023</w:t>
      </w:r>
      <w:r>
        <w:rPr>
          <w:rFonts w:hint="eastAsia" w:ascii="宋体" w:hAnsi="宋体" w:eastAsia="宋体" w:cs="宋体"/>
          <w:lang w:val="en-US" w:eastAsia="zh-CN"/>
        </w:rPr>
        <w:t>]</w:t>
      </w:r>
      <w:r>
        <w:rPr>
          <w:rFonts w:hint="default"/>
          <w:lang w:val="en-US" w:eastAsia="zh-CN"/>
        </w:rPr>
        <w:t>111号）的要求，对加油站</w:t>
      </w:r>
      <w:r>
        <w:rPr>
          <w:rFonts w:hint="eastAsia"/>
          <w:lang w:val="en-US" w:eastAsia="zh-CN"/>
        </w:rPr>
        <w:t>安全管理</w:t>
      </w:r>
      <w:r>
        <w:rPr>
          <w:rFonts w:hint="default"/>
          <w:lang w:val="en-US" w:eastAsia="zh-CN"/>
        </w:rPr>
        <w:t>检查如下表：</w:t>
      </w:r>
    </w:p>
    <w:p w14:paraId="72C749F4">
      <w:pPr>
        <w:ind w:left="0" w:leftChars="0" w:firstLine="0" w:firstLineChars="0"/>
        <w:jc w:val="center"/>
        <w:rPr>
          <w:rFonts w:hint="default"/>
          <w:lang w:val="en-US" w:eastAsia="zh-CN"/>
        </w:rPr>
      </w:pPr>
      <w:r>
        <w:rPr>
          <w:rFonts w:hint="default"/>
          <w:lang w:val="en-US" w:eastAsia="zh-CN"/>
        </w:rPr>
        <w:t>表F3.5-1 安全管理制度符合性检查表</w:t>
      </w:r>
    </w:p>
    <w:tbl>
      <w:tblPr>
        <w:tblStyle w:val="20"/>
        <w:tblW w:w="504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8"/>
        <w:gridCol w:w="1200"/>
        <w:gridCol w:w="4672"/>
        <w:gridCol w:w="2212"/>
        <w:gridCol w:w="737"/>
      </w:tblGrid>
      <w:tr w14:paraId="20BF6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5" w:type="dxa"/>
            <w:noWrap w:val="0"/>
            <w:vAlign w:val="center"/>
          </w:tcPr>
          <w:p w14:paraId="19235765">
            <w:pPr>
              <w:pStyle w:val="43"/>
              <w:bidi w:val="0"/>
              <w:spacing w:line="240" w:lineRule="auto"/>
              <w:rPr>
                <w:rFonts w:hint="eastAsia"/>
                <w:b/>
                <w:bCs/>
                <w:color w:val="auto"/>
                <w:lang w:val="en-GB"/>
              </w:rPr>
            </w:pPr>
            <w:r>
              <w:rPr>
                <w:rFonts w:hint="eastAsia"/>
                <w:b/>
                <w:bCs/>
                <w:color w:val="auto"/>
                <w:lang w:val="en-GB"/>
              </w:rPr>
              <w:t>序号</w:t>
            </w:r>
          </w:p>
        </w:tc>
        <w:tc>
          <w:tcPr>
            <w:tcW w:w="1215" w:type="dxa"/>
            <w:noWrap w:val="0"/>
            <w:vAlign w:val="center"/>
          </w:tcPr>
          <w:p w14:paraId="27764BE9">
            <w:pPr>
              <w:pStyle w:val="43"/>
              <w:bidi w:val="0"/>
              <w:spacing w:line="240" w:lineRule="auto"/>
              <w:rPr>
                <w:rFonts w:hint="eastAsia"/>
                <w:b/>
                <w:bCs/>
                <w:color w:val="auto"/>
                <w:lang w:val="en-GB"/>
              </w:rPr>
            </w:pPr>
            <w:r>
              <w:rPr>
                <w:rFonts w:hint="eastAsia"/>
                <w:b/>
                <w:bCs/>
                <w:color w:val="auto"/>
                <w:lang w:val="en-GB"/>
              </w:rPr>
              <w:t>检查项目</w:t>
            </w:r>
          </w:p>
        </w:tc>
        <w:tc>
          <w:tcPr>
            <w:tcW w:w="4729" w:type="dxa"/>
            <w:noWrap w:val="0"/>
            <w:vAlign w:val="center"/>
          </w:tcPr>
          <w:p w14:paraId="01825741">
            <w:pPr>
              <w:pStyle w:val="43"/>
              <w:bidi w:val="0"/>
              <w:spacing w:line="240" w:lineRule="auto"/>
              <w:rPr>
                <w:rFonts w:hint="eastAsia"/>
                <w:b/>
                <w:bCs/>
                <w:color w:val="auto"/>
                <w:lang w:val="en-GB"/>
              </w:rPr>
            </w:pPr>
            <w:r>
              <w:rPr>
                <w:rFonts w:hint="eastAsia"/>
                <w:b/>
                <w:bCs/>
                <w:color w:val="auto"/>
                <w:lang w:val="en-GB"/>
              </w:rPr>
              <w:t>检查内容</w:t>
            </w:r>
          </w:p>
        </w:tc>
        <w:tc>
          <w:tcPr>
            <w:tcW w:w="2239" w:type="dxa"/>
            <w:noWrap w:val="0"/>
            <w:vAlign w:val="center"/>
          </w:tcPr>
          <w:p w14:paraId="6BA276AF">
            <w:pPr>
              <w:pStyle w:val="43"/>
              <w:bidi w:val="0"/>
              <w:spacing w:line="240" w:lineRule="auto"/>
              <w:rPr>
                <w:rFonts w:hint="eastAsia"/>
                <w:b/>
                <w:bCs/>
                <w:color w:val="auto"/>
                <w:lang w:val="en-GB" w:eastAsia="zh-CN"/>
              </w:rPr>
            </w:pPr>
            <w:r>
              <w:rPr>
                <w:rFonts w:hint="eastAsia"/>
                <w:b/>
                <w:bCs/>
                <w:color w:val="auto"/>
                <w:lang w:val="en-GB" w:eastAsia="zh-CN"/>
              </w:rPr>
              <w:t>检查记录</w:t>
            </w:r>
          </w:p>
        </w:tc>
        <w:tc>
          <w:tcPr>
            <w:tcW w:w="746" w:type="dxa"/>
            <w:noWrap w:val="0"/>
            <w:vAlign w:val="center"/>
          </w:tcPr>
          <w:p w14:paraId="4841C7F2">
            <w:pPr>
              <w:pStyle w:val="43"/>
              <w:bidi w:val="0"/>
              <w:spacing w:line="240" w:lineRule="auto"/>
              <w:rPr>
                <w:rFonts w:hint="eastAsia"/>
                <w:b/>
                <w:bCs/>
                <w:color w:val="auto"/>
                <w:lang w:val="en-GB" w:eastAsia="zh-CN"/>
              </w:rPr>
            </w:pPr>
            <w:r>
              <w:rPr>
                <w:rFonts w:hint="eastAsia"/>
                <w:b/>
                <w:bCs/>
                <w:color w:val="auto"/>
                <w:lang w:val="en-GB" w:eastAsia="zh-CN"/>
              </w:rPr>
              <w:t>结论</w:t>
            </w:r>
          </w:p>
        </w:tc>
      </w:tr>
      <w:tr w14:paraId="31C1F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5" w:type="dxa"/>
            <w:vMerge w:val="restart"/>
            <w:noWrap w:val="0"/>
            <w:vAlign w:val="center"/>
          </w:tcPr>
          <w:p w14:paraId="6AF75C99">
            <w:pPr>
              <w:pStyle w:val="43"/>
              <w:bidi w:val="0"/>
              <w:spacing w:line="240" w:lineRule="auto"/>
              <w:rPr>
                <w:rFonts w:hint="eastAsia"/>
                <w:color w:val="auto"/>
                <w:lang w:val="en-GB"/>
              </w:rPr>
            </w:pPr>
            <w:r>
              <w:rPr>
                <w:rFonts w:hint="eastAsia"/>
                <w:color w:val="auto"/>
                <w:lang w:val="en-GB"/>
              </w:rPr>
              <w:t>1</w:t>
            </w:r>
          </w:p>
        </w:tc>
        <w:tc>
          <w:tcPr>
            <w:tcW w:w="1215" w:type="dxa"/>
            <w:vMerge w:val="restart"/>
            <w:noWrap w:val="0"/>
            <w:vAlign w:val="center"/>
          </w:tcPr>
          <w:p w14:paraId="16064921">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GB"/>
              </w:rPr>
              <w:t>证照文书</w:t>
            </w:r>
          </w:p>
          <w:p w14:paraId="4BB5F7CF">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p>
        </w:tc>
        <w:tc>
          <w:tcPr>
            <w:tcW w:w="4729" w:type="dxa"/>
            <w:noWrap w:val="0"/>
            <w:vAlign w:val="center"/>
          </w:tcPr>
          <w:p w14:paraId="367D89DA">
            <w:pPr>
              <w:pStyle w:val="43"/>
              <w:keepNext w:val="0"/>
              <w:keepLines w:val="0"/>
              <w:pageBreakBefore w:val="0"/>
              <w:widowControl w:val="0"/>
              <w:kinsoku/>
              <w:wordWrap/>
              <w:overflowPunct/>
              <w:topLinePunct w:val="0"/>
              <w:autoSpaceDE/>
              <w:autoSpaceDN/>
              <w:bidi w:val="0"/>
              <w:adjustRightInd w:val="0"/>
              <w:snapToGrid w:val="0"/>
              <w:spacing w:line="250" w:lineRule="exact"/>
              <w:jc w:val="both"/>
              <w:textAlignment w:val="auto"/>
              <w:rPr>
                <w:rFonts w:hint="eastAsia"/>
                <w:color w:val="auto"/>
                <w:lang w:val="en-GB"/>
              </w:rPr>
            </w:pPr>
            <w:r>
              <w:rPr>
                <w:rFonts w:hint="eastAsia"/>
                <w:color w:val="auto"/>
                <w:lang w:val="en-GB"/>
              </w:rPr>
              <w:t>（1）营业执照。</w:t>
            </w:r>
          </w:p>
        </w:tc>
        <w:tc>
          <w:tcPr>
            <w:tcW w:w="2239" w:type="dxa"/>
            <w:noWrap w:val="0"/>
            <w:vAlign w:val="center"/>
          </w:tcPr>
          <w:p w14:paraId="759B875E">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GB"/>
              </w:rPr>
              <w:t>有营业执照</w:t>
            </w:r>
          </w:p>
        </w:tc>
        <w:tc>
          <w:tcPr>
            <w:tcW w:w="746" w:type="dxa"/>
            <w:noWrap w:val="0"/>
            <w:vAlign w:val="center"/>
          </w:tcPr>
          <w:p w14:paraId="2C1769D7">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eastAsia="zh-CN"/>
              </w:rPr>
            </w:pPr>
            <w:r>
              <w:rPr>
                <w:rFonts w:hint="eastAsia"/>
                <w:color w:val="auto"/>
                <w:lang w:val="en-GB" w:eastAsia="zh-CN"/>
              </w:rPr>
              <w:t>符合</w:t>
            </w:r>
          </w:p>
        </w:tc>
      </w:tr>
      <w:tr w14:paraId="622F9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5" w:type="dxa"/>
            <w:vMerge w:val="continue"/>
            <w:noWrap w:val="0"/>
            <w:vAlign w:val="center"/>
          </w:tcPr>
          <w:p w14:paraId="12CA7C41">
            <w:pPr>
              <w:pStyle w:val="43"/>
              <w:bidi w:val="0"/>
              <w:spacing w:line="240" w:lineRule="auto"/>
              <w:rPr>
                <w:rFonts w:hint="eastAsia"/>
                <w:color w:val="auto"/>
                <w:lang w:val="en-GB"/>
              </w:rPr>
            </w:pPr>
          </w:p>
        </w:tc>
        <w:tc>
          <w:tcPr>
            <w:tcW w:w="1215" w:type="dxa"/>
            <w:vMerge w:val="continue"/>
            <w:noWrap w:val="0"/>
            <w:vAlign w:val="center"/>
          </w:tcPr>
          <w:p w14:paraId="32ABBCB8">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p>
        </w:tc>
        <w:tc>
          <w:tcPr>
            <w:tcW w:w="4729" w:type="dxa"/>
            <w:noWrap w:val="0"/>
            <w:vAlign w:val="center"/>
          </w:tcPr>
          <w:p w14:paraId="3ED2F0E9">
            <w:pPr>
              <w:pStyle w:val="43"/>
              <w:keepNext w:val="0"/>
              <w:keepLines w:val="0"/>
              <w:pageBreakBefore w:val="0"/>
              <w:widowControl w:val="0"/>
              <w:kinsoku/>
              <w:wordWrap/>
              <w:overflowPunct/>
              <w:topLinePunct w:val="0"/>
              <w:autoSpaceDE/>
              <w:autoSpaceDN/>
              <w:bidi w:val="0"/>
              <w:adjustRightInd w:val="0"/>
              <w:snapToGrid w:val="0"/>
              <w:spacing w:line="250" w:lineRule="exact"/>
              <w:jc w:val="both"/>
              <w:textAlignment w:val="auto"/>
              <w:rPr>
                <w:rFonts w:hint="eastAsia"/>
                <w:color w:val="auto"/>
                <w:lang w:val="en-GB"/>
              </w:rPr>
            </w:pPr>
            <w:r>
              <w:rPr>
                <w:rFonts w:hint="eastAsia"/>
                <w:color w:val="auto"/>
                <w:lang w:val="en-GB"/>
              </w:rPr>
              <w:t>（2）成品油零售经营批准证书，是否在有效期内。</w:t>
            </w:r>
          </w:p>
        </w:tc>
        <w:tc>
          <w:tcPr>
            <w:tcW w:w="2239" w:type="dxa"/>
            <w:noWrap w:val="0"/>
            <w:vAlign w:val="center"/>
          </w:tcPr>
          <w:p w14:paraId="221BD723">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eastAsia="宋体"/>
                <w:color w:val="auto"/>
                <w:lang w:val="en-GB" w:eastAsia="zh-CN"/>
              </w:rPr>
            </w:pPr>
            <w:r>
              <w:rPr>
                <w:rFonts w:hint="eastAsia"/>
                <w:color w:val="auto"/>
                <w:lang w:val="en-US" w:eastAsia="zh-CN"/>
              </w:rPr>
              <w:t>/</w:t>
            </w:r>
          </w:p>
        </w:tc>
        <w:tc>
          <w:tcPr>
            <w:tcW w:w="746" w:type="dxa"/>
            <w:noWrap w:val="0"/>
            <w:vAlign w:val="center"/>
          </w:tcPr>
          <w:p w14:paraId="2DF30352">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US" w:eastAsia="zh-CN"/>
              </w:rPr>
              <w:t>/</w:t>
            </w:r>
          </w:p>
        </w:tc>
      </w:tr>
      <w:tr w14:paraId="24B4E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5" w:type="dxa"/>
            <w:vMerge w:val="continue"/>
            <w:noWrap w:val="0"/>
            <w:vAlign w:val="center"/>
          </w:tcPr>
          <w:p w14:paraId="49DE8C04">
            <w:pPr>
              <w:pStyle w:val="43"/>
              <w:bidi w:val="0"/>
              <w:spacing w:line="240" w:lineRule="auto"/>
              <w:rPr>
                <w:rFonts w:hint="eastAsia"/>
                <w:color w:val="auto"/>
                <w:lang w:val="en-GB"/>
              </w:rPr>
            </w:pPr>
          </w:p>
        </w:tc>
        <w:tc>
          <w:tcPr>
            <w:tcW w:w="1215" w:type="dxa"/>
            <w:vMerge w:val="continue"/>
            <w:noWrap w:val="0"/>
            <w:vAlign w:val="center"/>
          </w:tcPr>
          <w:p w14:paraId="1B614CB6">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p>
        </w:tc>
        <w:tc>
          <w:tcPr>
            <w:tcW w:w="4729" w:type="dxa"/>
            <w:noWrap w:val="0"/>
            <w:vAlign w:val="center"/>
          </w:tcPr>
          <w:p w14:paraId="7DFB2046">
            <w:pPr>
              <w:pStyle w:val="43"/>
              <w:keepNext w:val="0"/>
              <w:keepLines w:val="0"/>
              <w:pageBreakBefore w:val="0"/>
              <w:widowControl w:val="0"/>
              <w:kinsoku/>
              <w:wordWrap/>
              <w:overflowPunct/>
              <w:topLinePunct w:val="0"/>
              <w:autoSpaceDE/>
              <w:autoSpaceDN/>
              <w:bidi w:val="0"/>
              <w:adjustRightInd w:val="0"/>
              <w:snapToGrid w:val="0"/>
              <w:spacing w:line="250" w:lineRule="exact"/>
              <w:jc w:val="both"/>
              <w:textAlignment w:val="auto"/>
              <w:rPr>
                <w:rFonts w:hint="eastAsia"/>
                <w:color w:val="auto"/>
                <w:lang w:val="en-GB"/>
              </w:rPr>
            </w:pPr>
            <w:r>
              <w:rPr>
                <w:rFonts w:hint="eastAsia"/>
                <w:color w:val="auto"/>
                <w:lang w:val="en-GB"/>
              </w:rPr>
              <w:t>（3）危险化学品经营许可证，是否在有效期内。</w:t>
            </w:r>
          </w:p>
        </w:tc>
        <w:tc>
          <w:tcPr>
            <w:tcW w:w="2239" w:type="dxa"/>
            <w:noWrap w:val="0"/>
            <w:vAlign w:val="center"/>
          </w:tcPr>
          <w:p w14:paraId="2D91AD45">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eastAsia="宋体"/>
                <w:color w:val="auto"/>
                <w:lang w:val="en-GB" w:eastAsia="zh-CN"/>
              </w:rPr>
            </w:pPr>
            <w:r>
              <w:rPr>
                <w:rFonts w:hint="eastAsia"/>
                <w:color w:val="auto"/>
                <w:lang w:val="en-US" w:eastAsia="zh-CN"/>
              </w:rPr>
              <w:t>/</w:t>
            </w:r>
          </w:p>
        </w:tc>
        <w:tc>
          <w:tcPr>
            <w:tcW w:w="746" w:type="dxa"/>
            <w:noWrap w:val="0"/>
            <w:vAlign w:val="center"/>
          </w:tcPr>
          <w:p w14:paraId="20D9FC02">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US" w:eastAsia="zh-CN"/>
              </w:rPr>
              <w:t>/</w:t>
            </w:r>
          </w:p>
        </w:tc>
      </w:tr>
      <w:tr w14:paraId="4E437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5" w:type="dxa"/>
            <w:vMerge w:val="continue"/>
            <w:noWrap w:val="0"/>
            <w:vAlign w:val="center"/>
          </w:tcPr>
          <w:p w14:paraId="7945CFDE">
            <w:pPr>
              <w:pStyle w:val="43"/>
              <w:bidi w:val="0"/>
              <w:spacing w:line="240" w:lineRule="auto"/>
              <w:rPr>
                <w:rFonts w:hint="eastAsia"/>
                <w:color w:val="auto"/>
                <w:lang w:val="en-GB"/>
              </w:rPr>
            </w:pPr>
          </w:p>
        </w:tc>
        <w:tc>
          <w:tcPr>
            <w:tcW w:w="1215" w:type="dxa"/>
            <w:vMerge w:val="continue"/>
            <w:noWrap w:val="0"/>
            <w:vAlign w:val="center"/>
          </w:tcPr>
          <w:p w14:paraId="555517A7">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p>
        </w:tc>
        <w:tc>
          <w:tcPr>
            <w:tcW w:w="4729" w:type="dxa"/>
            <w:noWrap w:val="0"/>
            <w:vAlign w:val="center"/>
          </w:tcPr>
          <w:p w14:paraId="5B765891">
            <w:pPr>
              <w:pStyle w:val="43"/>
              <w:keepNext w:val="0"/>
              <w:keepLines w:val="0"/>
              <w:pageBreakBefore w:val="0"/>
              <w:widowControl w:val="0"/>
              <w:kinsoku/>
              <w:wordWrap/>
              <w:overflowPunct/>
              <w:topLinePunct w:val="0"/>
              <w:autoSpaceDE/>
              <w:autoSpaceDN/>
              <w:bidi w:val="0"/>
              <w:adjustRightInd w:val="0"/>
              <w:snapToGrid w:val="0"/>
              <w:spacing w:line="250" w:lineRule="exact"/>
              <w:jc w:val="both"/>
              <w:textAlignment w:val="auto"/>
              <w:rPr>
                <w:rFonts w:hint="eastAsia"/>
                <w:color w:val="auto"/>
                <w:lang w:val="en-GB"/>
              </w:rPr>
            </w:pPr>
            <w:r>
              <w:rPr>
                <w:rFonts w:hint="eastAsia"/>
                <w:color w:val="auto"/>
                <w:lang w:val="en-GB"/>
              </w:rPr>
              <w:t>（</w:t>
            </w:r>
            <w:r>
              <w:rPr>
                <w:rFonts w:hint="eastAsia"/>
                <w:color w:val="auto"/>
                <w:lang w:val="en-US" w:eastAsia="zh-CN"/>
              </w:rPr>
              <w:t>4</w:t>
            </w:r>
            <w:r>
              <w:rPr>
                <w:rFonts w:hint="eastAsia"/>
                <w:color w:val="auto"/>
                <w:lang w:val="en-GB"/>
              </w:rPr>
              <w:t>）加油站用地证明文件、用地红线等，站址建设是否在用地红线范围内。</w:t>
            </w:r>
          </w:p>
        </w:tc>
        <w:tc>
          <w:tcPr>
            <w:tcW w:w="2239" w:type="dxa"/>
            <w:noWrap w:val="0"/>
            <w:vAlign w:val="center"/>
          </w:tcPr>
          <w:p w14:paraId="0079D52F">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ascii="Times New Roman" w:hAnsi="Times New Roman" w:eastAsia="宋体" w:cs="Times New Roman"/>
                <w:color w:val="auto"/>
                <w:lang w:val="en-GB"/>
              </w:rPr>
              <w:t>在用地红线范围内</w:t>
            </w:r>
          </w:p>
        </w:tc>
        <w:tc>
          <w:tcPr>
            <w:tcW w:w="746" w:type="dxa"/>
            <w:noWrap w:val="0"/>
            <w:vAlign w:val="center"/>
          </w:tcPr>
          <w:p w14:paraId="4FCA635E">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GB" w:eastAsia="zh-CN"/>
              </w:rPr>
              <w:t>符合</w:t>
            </w:r>
          </w:p>
        </w:tc>
      </w:tr>
      <w:tr w14:paraId="69F05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565" w:type="dxa"/>
            <w:vMerge w:val="continue"/>
            <w:noWrap w:val="0"/>
            <w:vAlign w:val="center"/>
          </w:tcPr>
          <w:p w14:paraId="2BBE7851">
            <w:pPr>
              <w:pStyle w:val="43"/>
              <w:bidi w:val="0"/>
              <w:spacing w:line="240" w:lineRule="auto"/>
              <w:rPr>
                <w:rFonts w:hint="eastAsia"/>
                <w:color w:val="auto"/>
                <w:lang w:val="en-GB"/>
              </w:rPr>
            </w:pPr>
          </w:p>
        </w:tc>
        <w:tc>
          <w:tcPr>
            <w:tcW w:w="1215" w:type="dxa"/>
            <w:vMerge w:val="continue"/>
            <w:noWrap w:val="0"/>
            <w:vAlign w:val="center"/>
          </w:tcPr>
          <w:p w14:paraId="1745035D">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p>
        </w:tc>
        <w:tc>
          <w:tcPr>
            <w:tcW w:w="4729" w:type="dxa"/>
            <w:noWrap w:val="0"/>
            <w:vAlign w:val="center"/>
          </w:tcPr>
          <w:p w14:paraId="1D226879">
            <w:pPr>
              <w:pStyle w:val="43"/>
              <w:keepNext w:val="0"/>
              <w:keepLines w:val="0"/>
              <w:pageBreakBefore w:val="0"/>
              <w:widowControl w:val="0"/>
              <w:kinsoku/>
              <w:wordWrap/>
              <w:overflowPunct/>
              <w:topLinePunct w:val="0"/>
              <w:autoSpaceDE/>
              <w:autoSpaceDN/>
              <w:bidi w:val="0"/>
              <w:adjustRightInd w:val="0"/>
              <w:snapToGrid w:val="0"/>
              <w:spacing w:line="250" w:lineRule="exact"/>
              <w:jc w:val="both"/>
              <w:textAlignment w:val="auto"/>
              <w:rPr>
                <w:rFonts w:hint="eastAsia"/>
                <w:color w:val="auto"/>
                <w:lang w:val="en-GB"/>
              </w:rPr>
            </w:pPr>
            <w:r>
              <w:rPr>
                <w:rFonts w:hint="eastAsia"/>
                <w:color w:val="auto"/>
                <w:lang w:val="en-GB"/>
              </w:rPr>
              <w:t>（</w:t>
            </w:r>
            <w:r>
              <w:rPr>
                <w:rFonts w:hint="eastAsia"/>
                <w:color w:val="auto"/>
                <w:lang w:val="en-US" w:eastAsia="zh-CN"/>
              </w:rPr>
              <w:t>5</w:t>
            </w:r>
            <w:r>
              <w:rPr>
                <w:rFonts w:hint="eastAsia"/>
                <w:color w:val="auto"/>
                <w:lang w:val="en-GB"/>
              </w:rPr>
              <w:t>）新建、改建、扩建加油站是否有审查手续和批复文件。</w:t>
            </w:r>
          </w:p>
        </w:tc>
        <w:tc>
          <w:tcPr>
            <w:tcW w:w="2239" w:type="dxa"/>
            <w:noWrap w:val="0"/>
            <w:vAlign w:val="center"/>
          </w:tcPr>
          <w:p w14:paraId="3F0218B5">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GB"/>
              </w:rPr>
              <w:t>有</w:t>
            </w:r>
            <w:r>
              <w:rPr>
                <w:rFonts w:hint="eastAsia"/>
                <w:color w:val="auto"/>
                <w:lang w:val="en-GB" w:eastAsia="zh-CN"/>
              </w:rPr>
              <w:t>安全条件评价</w:t>
            </w:r>
            <w:r>
              <w:rPr>
                <w:rFonts w:hint="eastAsia"/>
                <w:color w:val="auto"/>
                <w:lang w:val="en-GB"/>
              </w:rPr>
              <w:t>审查、安全设施设计审查。</w:t>
            </w:r>
          </w:p>
        </w:tc>
        <w:tc>
          <w:tcPr>
            <w:tcW w:w="746" w:type="dxa"/>
            <w:noWrap w:val="0"/>
            <w:vAlign w:val="center"/>
          </w:tcPr>
          <w:p w14:paraId="6AE8D97D">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GB" w:eastAsia="zh-CN"/>
              </w:rPr>
              <w:t>符合</w:t>
            </w:r>
          </w:p>
        </w:tc>
      </w:tr>
      <w:tr w14:paraId="71875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565" w:type="dxa"/>
            <w:vMerge w:val="continue"/>
            <w:noWrap w:val="0"/>
            <w:vAlign w:val="center"/>
          </w:tcPr>
          <w:p w14:paraId="46F55EDF">
            <w:pPr>
              <w:pStyle w:val="43"/>
              <w:bidi w:val="0"/>
              <w:spacing w:line="240" w:lineRule="auto"/>
              <w:rPr>
                <w:rFonts w:hint="eastAsia"/>
                <w:color w:val="auto"/>
                <w:lang w:val="en-GB"/>
              </w:rPr>
            </w:pPr>
          </w:p>
        </w:tc>
        <w:tc>
          <w:tcPr>
            <w:tcW w:w="1215" w:type="dxa"/>
            <w:vMerge w:val="continue"/>
            <w:noWrap w:val="0"/>
            <w:vAlign w:val="center"/>
          </w:tcPr>
          <w:p w14:paraId="293CFFE2">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p>
        </w:tc>
        <w:tc>
          <w:tcPr>
            <w:tcW w:w="4729" w:type="dxa"/>
            <w:noWrap w:val="0"/>
            <w:vAlign w:val="center"/>
          </w:tcPr>
          <w:p w14:paraId="5CB503D7">
            <w:pPr>
              <w:pStyle w:val="43"/>
              <w:keepNext w:val="0"/>
              <w:keepLines w:val="0"/>
              <w:pageBreakBefore w:val="0"/>
              <w:widowControl w:val="0"/>
              <w:kinsoku/>
              <w:wordWrap/>
              <w:overflowPunct/>
              <w:topLinePunct w:val="0"/>
              <w:autoSpaceDE/>
              <w:autoSpaceDN/>
              <w:bidi w:val="0"/>
              <w:adjustRightInd w:val="0"/>
              <w:snapToGrid w:val="0"/>
              <w:spacing w:line="250" w:lineRule="exact"/>
              <w:jc w:val="both"/>
              <w:textAlignment w:val="auto"/>
              <w:rPr>
                <w:rFonts w:hint="eastAsia"/>
                <w:color w:val="auto"/>
                <w:lang w:val="en-GB"/>
              </w:rPr>
            </w:pPr>
            <w:r>
              <w:rPr>
                <w:rFonts w:hint="eastAsia"/>
                <w:color w:val="auto"/>
                <w:lang w:val="en-GB"/>
              </w:rPr>
              <w:t>（</w:t>
            </w:r>
            <w:r>
              <w:rPr>
                <w:rFonts w:hint="eastAsia"/>
                <w:color w:val="auto"/>
                <w:lang w:val="en-US" w:eastAsia="zh-CN"/>
              </w:rPr>
              <w:t>6</w:t>
            </w:r>
            <w:r>
              <w:rPr>
                <w:rFonts w:hint="eastAsia"/>
                <w:color w:val="auto"/>
                <w:lang w:val="en-GB"/>
              </w:rPr>
              <w:t>）是否经过正规设计或诊断设计。</w:t>
            </w:r>
          </w:p>
        </w:tc>
        <w:tc>
          <w:tcPr>
            <w:tcW w:w="2239" w:type="dxa"/>
            <w:noWrap w:val="0"/>
            <w:vAlign w:val="center"/>
          </w:tcPr>
          <w:p w14:paraId="7E5771D4">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GB"/>
              </w:rPr>
              <w:t>经正规设计。</w:t>
            </w:r>
          </w:p>
        </w:tc>
        <w:tc>
          <w:tcPr>
            <w:tcW w:w="746" w:type="dxa"/>
            <w:noWrap w:val="0"/>
            <w:vAlign w:val="center"/>
          </w:tcPr>
          <w:p w14:paraId="43ABF5F4">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GB" w:eastAsia="zh-CN"/>
              </w:rPr>
              <w:t>符合</w:t>
            </w:r>
          </w:p>
        </w:tc>
      </w:tr>
      <w:tr w14:paraId="6C7A7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565" w:type="dxa"/>
            <w:vMerge w:val="continue"/>
            <w:noWrap w:val="0"/>
            <w:vAlign w:val="center"/>
          </w:tcPr>
          <w:p w14:paraId="76B28FE3">
            <w:pPr>
              <w:pStyle w:val="43"/>
              <w:bidi w:val="0"/>
              <w:spacing w:line="240" w:lineRule="auto"/>
              <w:rPr>
                <w:rFonts w:hint="eastAsia"/>
                <w:color w:val="auto"/>
                <w:lang w:val="en-GB"/>
              </w:rPr>
            </w:pPr>
          </w:p>
        </w:tc>
        <w:tc>
          <w:tcPr>
            <w:tcW w:w="1215" w:type="dxa"/>
            <w:vMerge w:val="continue"/>
            <w:noWrap w:val="0"/>
            <w:vAlign w:val="center"/>
          </w:tcPr>
          <w:p w14:paraId="22F573E7">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p>
        </w:tc>
        <w:tc>
          <w:tcPr>
            <w:tcW w:w="4729" w:type="dxa"/>
            <w:noWrap w:val="0"/>
            <w:vAlign w:val="center"/>
          </w:tcPr>
          <w:p w14:paraId="3546319F">
            <w:pPr>
              <w:pStyle w:val="43"/>
              <w:keepNext w:val="0"/>
              <w:keepLines w:val="0"/>
              <w:pageBreakBefore w:val="0"/>
              <w:widowControl w:val="0"/>
              <w:kinsoku/>
              <w:wordWrap/>
              <w:overflowPunct/>
              <w:topLinePunct w:val="0"/>
              <w:autoSpaceDE/>
              <w:autoSpaceDN/>
              <w:bidi w:val="0"/>
              <w:adjustRightInd w:val="0"/>
              <w:snapToGrid w:val="0"/>
              <w:spacing w:line="250" w:lineRule="exact"/>
              <w:jc w:val="both"/>
              <w:textAlignment w:val="auto"/>
              <w:rPr>
                <w:rFonts w:hint="eastAsia"/>
                <w:color w:val="auto"/>
                <w:lang w:val="en-GB"/>
              </w:rPr>
            </w:pPr>
            <w:r>
              <w:rPr>
                <w:rFonts w:hint="eastAsia"/>
                <w:color w:val="auto"/>
                <w:lang w:val="en-GB"/>
              </w:rPr>
              <w:t>（</w:t>
            </w:r>
            <w:r>
              <w:rPr>
                <w:rFonts w:hint="eastAsia"/>
                <w:color w:val="auto"/>
                <w:lang w:val="en-US" w:eastAsia="zh-CN"/>
              </w:rPr>
              <w:t>7</w:t>
            </w:r>
            <w:r>
              <w:rPr>
                <w:rFonts w:hint="eastAsia"/>
                <w:color w:val="auto"/>
                <w:lang w:val="en-GB"/>
              </w:rPr>
              <w:t>）设计单位是否具备相应的资质。</w:t>
            </w:r>
          </w:p>
        </w:tc>
        <w:tc>
          <w:tcPr>
            <w:tcW w:w="2239" w:type="dxa"/>
            <w:noWrap w:val="0"/>
            <w:vAlign w:val="center"/>
          </w:tcPr>
          <w:p w14:paraId="6288625C">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GB"/>
              </w:rPr>
              <w:t>有相应资质。</w:t>
            </w:r>
          </w:p>
        </w:tc>
        <w:tc>
          <w:tcPr>
            <w:tcW w:w="746" w:type="dxa"/>
            <w:noWrap w:val="0"/>
            <w:vAlign w:val="center"/>
          </w:tcPr>
          <w:p w14:paraId="737969D5">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GB" w:eastAsia="zh-CN"/>
              </w:rPr>
              <w:t>符合</w:t>
            </w:r>
          </w:p>
        </w:tc>
      </w:tr>
      <w:tr w14:paraId="23227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565" w:type="dxa"/>
            <w:vMerge w:val="continue"/>
            <w:noWrap w:val="0"/>
            <w:vAlign w:val="center"/>
          </w:tcPr>
          <w:p w14:paraId="17018A3E">
            <w:pPr>
              <w:pStyle w:val="43"/>
              <w:bidi w:val="0"/>
              <w:spacing w:line="240" w:lineRule="auto"/>
              <w:rPr>
                <w:rFonts w:hint="eastAsia"/>
                <w:color w:val="auto"/>
                <w:lang w:val="en-GB"/>
              </w:rPr>
            </w:pPr>
          </w:p>
        </w:tc>
        <w:tc>
          <w:tcPr>
            <w:tcW w:w="1215" w:type="dxa"/>
            <w:vMerge w:val="continue"/>
            <w:noWrap w:val="0"/>
            <w:vAlign w:val="center"/>
          </w:tcPr>
          <w:p w14:paraId="07B7554F">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p>
        </w:tc>
        <w:tc>
          <w:tcPr>
            <w:tcW w:w="4729" w:type="dxa"/>
            <w:noWrap w:val="0"/>
            <w:vAlign w:val="center"/>
          </w:tcPr>
          <w:p w14:paraId="5C35FB1C">
            <w:pPr>
              <w:pStyle w:val="43"/>
              <w:keepNext w:val="0"/>
              <w:keepLines w:val="0"/>
              <w:pageBreakBefore w:val="0"/>
              <w:widowControl w:val="0"/>
              <w:kinsoku/>
              <w:wordWrap/>
              <w:overflowPunct/>
              <w:topLinePunct w:val="0"/>
              <w:autoSpaceDE/>
              <w:autoSpaceDN/>
              <w:bidi w:val="0"/>
              <w:adjustRightInd w:val="0"/>
              <w:snapToGrid w:val="0"/>
              <w:spacing w:line="250" w:lineRule="exact"/>
              <w:jc w:val="both"/>
              <w:textAlignment w:val="auto"/>
              <w:rPr>
                <w:rFonts w:hint="eastAsia"/>
                <w:color w:val="auto"/>
                <w:lang w:val="en-GB"/>
              </w:rPr>
            </w:pPr>
            <w:r>
              <w:rPr>
                <w:rFonts w:hint="eastAsia"/>
                <w:color w:val="auto"/>
                <w:lang w:val="en-GB"/>
              </w:rPr>
              <w:t>（</w:t>
            </w:r>
            <w:r>
              <w:rPr>
                <w:rFonts w:hint="eastAsia"/>
                <w:color w:val="auto"/>
                <w:lang w:val="en-US" w:eastAsia="zh-CN"/>
              </w:rPr>
              <w:t>8</w:t>
            </w:r>
            <w:r>
              <w:rPr>
                <w:rFonts w:hint="eastAsia"/>
                <w:color w:val="auto"/>
                <w:lang w:val="en-GB"/>
              </w:rPr>
              <w:t>）是否出具合格的设计图纸，设计图纸是否与现场一致。</w:t>
            </w:r>
          </w:p>
        </w:tc>
        <w:tc>
          <w:tcPr>
            <w:tcW w:w="2239" w:type="dxa"/>
            <w:noWrap w:val="0"/>
            <w:vAlign w:val="center"/>
          </w:tcPr>
          <w:p w14:paraId="6F5FF53C">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GB"/>
              </w:rPr>
              <w:t>有合格设计图纸，与现场一致。</w:t>
            </w:r>
          </w:p>
        </w:tc>
        <w:tc>
          <w:tcPr>
            <w:tcW w:w="746" w:type="dxa"/>
            <w:noWrap w:val="0"/>
            <w:vAlign w:val="center"/>
          </w:tcPr>
          <w:p w14:paraId="780BC7C2">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GB" w:eastAsia="zh-CN"/>
              </w:rPr>
              <w:t>符合</w:t>
            </w:r>
          </w:p>
        </w:tc>
      </w:tr>
      <w:tr w14:paraId="00633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5" w:type="dxa"/>
            <w:vMerge w:val="restart"/>
            <w:noWrap w:val="0"/>
            <w:vAlign w:val="center"/>
          </w:tcPr>
          <w:p w14:paraId="3FDD523C">
            <w:pPr>
              <w:pStyle w:val="43"/>
              <w:bidi w:val="0"/>
              <w:spacing w:line="240" w:lineRule="auto"/>
              <w:rPr>
                <w:rFonts w:hint="eastAsia"/>
                <w:color w:val="auto"/>
                <w:lang w:val="en-GB"/>
              </w:rPr>
            </w:pPr>
            <w:r>
              <w:rPr>
                <w:rFonts w:hint="eastAsia"/>
                <w:color w:val="auto"/>
                <w:lang w:val="en-GB"/>
              </w:rPr>
              <w:t>2</w:t>
            </w:r>
          </w:p>
        </w:tc>
        <w:tc>
          <w:tcPr>
            <w:tcW w:w="1215" w:type="dxa"/>
            <w:vMerge w:val="restart"/>
            <w:noWrap w:val="0"/>
            <w:vAlign w:val="center"/>
          </w:tcPr>
          <w:p w14:paraId="79FF1142">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GB"/>
              </w:rPr>
              <w:t>安全管理机构</w:t>
            </w:r>
          </w:p>
        </w:tc>
        <w:tc>
          <w:tcPr>
            <w:tcW w:w="4729" w:type="dxa"/>
            <w:noWrap w:val="0"/>
            <w:vAlign w:val="center"/>
          </w:tcPr>
          <w:p w14:paraId="7E307441">
            <w:pPr>
              <w:pStyle w:val="43"/>
              <w:keepNext w:val="0"/>
              <w:keepLines w:val="0"/>
              <w:pageBreakBefore w:val="0"/>
              <w:widowControl w:val="0"/>
              <w:kinsoku/>
              <w:wordWrap/>
              <w:overflowPunct/>
              <w:topLinePunct w:val="0"/>
              <w:autoSpaceDE/>
              <w:autoSpaceDN/>
              <w:bidi w:val="0"/>
              <w:adjustRightInd w:val="0"/>
              <w:snapToGrid w:val="0"/>
              <w:spacing w:line="250" w:lineRule="exact"/>
              <w:jc w:val="both"/>
              <w:textAlignment w:val="auto"/>
              <w:rPr>
                <w:rFonts w:hint="eastAsia"/>
                <w:color w:val="auto"/>
                <w:lang w:val="en-GB"/>
              </w:rPr>
            </w:pPr>
            <w:r>
              <w:rPr>
                <w:rFonts w:hint="eastAsia"/>
                <w:color w:val="auto"/>
                <w:lang w:val="en-GB"/>
              </w:rPr>
              <w:t>（1）是否成立安全管理机构，配置安全管理人员。</w:t>
            </w:r>
          </w:p>
        </w:tc>
        <w:tc>
          <w:tcPr>
            <w:tcW w:w="2239" w:type="dxa"/>
            <w:noWrap w:val="0"/>
            <w:vAlign w:val="center"/>
          </w:tcPr>
          <w:p w14:paraId="14D4E3AB">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GB"/>
              </w:rPr>
              <w:t>有安全管理机构，有安全管理人员。</w:t>
            </w:r>
          </w:p>
        </w:tc>
        <w:tc>
          <w:tcPr>
            <w:tcW w:w="746" w:type="dxa"/>
            <w:noWrap w:val="0"/>
            <w:vAlign w:val="center"/>
          </w:tcPr>
          <w:p w14:paraId="3D943873">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GB" w:eastAsia="zh-CN"/>
              </w:rPr>
              <w:t>符合</w:t>
            </w:r>
          </w:p>
        </w:tc>
      </w:tr>
      <w:tr w14:paraId="56AC6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565" w:type="dxa"/>
            <w:vMerge w:val="continue"/>
            <w:noWrap w:val="0"/>
            <w:vAlign w:val="center"/>
          </w:tcPr>
          <w:p w14:paraId="08BFF17E">
            <w:pPr>
              <w:pStyle w:val="43"/>
              <w:bidi w:val="0"/>
              <w:spacing w:line="240" w:lineRule="auto"/>
              <w:rPr>
                <w:rFonts w:hint="eastAsia"/>
                <w:color w:val="auto"/>
                <w:lang w:val="en-GB"/>
              </w:rPr>
            </w:pPr>
          </w:p>
        </w:tc>
        <w:tc>
          <w:tcPr>
            <w:tcW w:w="1215" w:type="dxa"/>
            <w:vMerge w:val="continue"/>
            <w:noWrap w:val="0"/>
            <w:vAlign w:val="center"/>
          </w:tcPr>
          <w:p w14:paraId="77F3BED0">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p>
        </w:tc>
        <w:tc>
          <w:tcPr>
            <w:tcW w:w="4729" w:type="dxa"/>
            <w:noWrap w:val="0"/>
            <w:vAlign w:val="center"/>
          </w:tcPr>
          <w:p w14:paraId="5D2CA57D">
            <w:pPr>
              <w:pStyle w:val="43"/>
              <w:keepNext w:val="0"/>
              <w:keepLines w:val="0"/>
              <w:pageBreakBefore w:val="0"/>
              <w:widowControl w:val="0"/>
              <w:kinsoku/>
              <w:wordWrap/>
              <w:overflowPunct/>
              <w:topLinePunct w:val="0"/>
              <w:autoSpaceDE/>
              <w:autoSpaceDN/>
              <w:bidi w:val="0"/>
              <w:adjustRightInd w:val="0"/>
              <w:snapToGrid w:val="0"/>
              <w:spacing w:line="250" w:lineRule="exact"/>
              <w:jc w:val="both"/>
              <w:textAlignment w:val="auto"/>
              <w:rPr>
                <w:rFonts w:hint="eastAsia"/>
                <w:color w:val="auto"/>
                <w:lang w:val="en-GB"/>
              </w:rPr>
            </w:pPr>
            <w:r>
              <w:rPr>
                <w:rFonts w:hint="eastAsia"/>
                <w:color w:val="auto"/>
                <w:lang w:val="en-GB"/>
              </w:rPr>
              <w:t>（2）专职安全管理人员是否经过正式任命。</w:t>
            </w:r>
          </w:p>
        </w:tc>
        <w:tc>
          <w:tcPr>
            <w:tcW w:w="2239" w:type="dxa"/>
            <w:noWrap w:val="0"/>
            <w:vAlign w:val="center"/>
          </w:tcPr>
          <w:p w14:paraId="4D025D99">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GB" w:eastAsia="zh-CN"/>
              </w:rPr>
              <w:t>有任命文件</w:t>
            </w:r>
            <w:r>
              <w:rPr>
                <w:rFonts w:hint="eastAsia"/>
                <w:color w:val="auto"/>
                <w:lang w:val="en-GB"/>
              </w:rPr>
              <w:t>。</w:t>
            </w:r>
          </w:p>
        </w:tc>
        <w:tc>
          <w:tcPr>
            <w:tcW w:w="746" w:type="dxa"/>
            <w:noWrap w:val="0"/>
            <w:vAlign w:val="center"/>
          </w:tcPr>
          <w:p w14:paraId="01631BE3">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GB" w:eastAsia="zh-CN"/>
              </w:rPr>
              <w:t>符合</w:t>
            </w:r>
          </w:p>
        </w:tc>
      </w:tr>
      <w:tr w14:paraId="4E7D1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5" w:type="dxa"/>
            <w:vMerge w:val="continue"/>
            <w:noWrap w:val="0"/>
            <w:vAlign w:val="center"/>
          </w:tcPr>
          <w:p w14:paraId="43D3579D">
            <w:pPr>
              <w:pStyle w:val="43"/>
              <w:bidi w:val="0"/>
              <w:spacing w:line="240" w:lineRule="auto"/>
              <w:rPr>
                <w:rFonts w:hint="eastAsia"/>
                <w:color w:val="auto"/>
                <w:lang w:val="en-GB"/>
              </w:rPr>
            </w:pPr>
          </w:p>
        </w:tc>
        <w:tc>
          <w:tcPr>
            <w:tcW w:w="1215" w:type="dxa"/>
            <w:vMerge w:val="continue"/>
            <w:noWrap w:val="0"/>
            <w:vAlign w:val="center"/>
          </w:tcPr>
          <w:p w14:paraId="38012118">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p>
        </w:tc>
        <w:tc>
          <w:tcPr>
            <w:tcW w:w="4729" w:type="dxa"/>
            <w:noWrap w:val="0"/>
            <w:vAlign w:val="center"/>
          </w:tcPr>
          <w:p w14:paraId="529F436A">
            <w:pPr>
              <w:pStyle w:val="43"/>
              <w:keepNext w:val="0"/>
              <w:keepLines w:val="0"/>
              <w:pageBreakBefore w:val="0"/>
              <w:widowControl w:val="0"/>
              <w:kinsoku/>
              <w:wordWrap/>
              <w:overflowPunct/>
              <w:topLinePunct w:val="0"/>
              <w:autoSpaceDE/>
              <w:autoSpaceDN/>
              <w:bidi w:val="0"/>
              <w:adjustRightInd w:val="0"/>
              <w:snapToGrid w:val="0"/>
              <w:spacing w:line="250" w:lineRule="exact"/>
              <w:jc w:val="both"/>
              <w:textAlignment w:val="auto"/>
              <w:rPr>
                <w:rFonts w:hint="eastAsia"/>
                <w:color w:val="auto"/>
                <w:lang w:val="en-GB"/>
              </w:rPr>
            </w:pPr>
            <w:r>
              <w:rPr>
                <w:rFonts w:hint="eastAsia"/>
                <w:color w:val="auto"/>
                <w:lang w:val="en-GB"/>
              </w:rPr>
              <w:t>（3）主要负责人、安全生产管理人员是否取得安全资格证书，证书是否在有效期内。</w:t>
            </w:r>
          </w:p>
        </w:tc>
        <w:tc>
          <w:tcPr>
            <w:tcW w:w="2239" w:type="dxa"/>
            <w:noWrap w:val="0"/>
            <w:vAlign w:val="center"/>
          </w:tcPr>
          <w:p w14:paraId="6DDA5F09">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GB"/>
              </w:rPr>
              <w:t>主要负责人</w:t>
            </w:r>
            <w:r>
              <w:rPr>
                <w:rFonts w:hint="eastAsia"/>
                <w:color w:val="auto"/>
                <w:lang w:val="en-US" w:eastAsia="zh-CN"/>
              </w:rPr>
              <w:t>、</w:t>
            </w:r>
            <w:r>
              <w:rPr>
                <w:rFonts w:hint="eastAsia"/>
                <w:color w:val="auto"/>
                <w:lang w:val="en-GB"/>
              </w:rPr>
              <w:t>安全管理人员已取证，证件在有效期内。</w:t>
            </w:r>
          </w:p>
        </w:tc>
        <w:tc>
          <w:tcPr>
            <w:tcW w:w="746" w:type="dxa"/>
            <w:noWrap w:val="0"/>
            <w:vAlign w:val="center"/>
          </w:tcPr>
          <w:p w14:paraId="6810DBBE">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GB" w:eastAsia="zh-CN"/>
              </w:rPr>
              <w:t>符合</w:t>
            </w:r>
          </w:p>
        </w:tc>
      </w:tr>
      <w:tr w14:paraId="68731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565" w:type="dxa"/>
            <w:vMerge w:val="restart"/>
            <w:noWrap w:val="0"/>
            <w:vAlign w:val="center"/>
          </w:tcPr>
          <w:p w14:paraId="79E9A0E1">
            <w:pPr>
              <w:pStyle w:val="43"/>
              <w:bidi w:val="0"/>
              <w:spacing w:line="240" w:lineRule="auto"/>
              <w:rPr>
                <w:rFonts w:hint="eastAsia"/>
                <w:color w:val="auto"/>
                <w:lang w:val="en-GB"/>
              </w:rPr>
            </w:pPr>
            <w:r>
              <w:rPr>
                <w:rFonts w:hint="eastAsia"/>
                <w:color w:val="auto"/>
                <w:lang w:val="en-GB"/>
              </w:rPr>
              <w:t>3</w:t>
            </w:r>
          </w:p>
        </w:tc>
        <w:tc>
          <w:tcPr>
            <w:tcW w:w="1215" w:type="dxa"/>
            <w:vMerge w:val="restart"/>
            <w:noWrap w:val="0"/>
            <w:vAlign w:val="center"/>
          </w:tcPr>
          <w:p w14:paraId="1C617DF9">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GB"/>
              </w:rPr>
              <w:t>安全生产</w:t>
            </w:r>
          </w:p>
          <w:p w14:paraId="26B1D86D">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GB"/>
              </w:rPr>
              <w:t>责任制</w:t>
            </w:r>
          </w:p>
        </w:tc>
        <w:tc>
          <w:tcPr>
            <w:tcW w:w="4729" w:type="dxa"/>
            <w:noWrap w:val="0"/>
            <w:vAlign w:val="center"/>
          </w:tcPr>
          <w:p w14:paraId="4A13F1D8">
            <w:pPr>
              <w:pStyle w:val="43"/>
              <w:keepNext w:val="0"/>
              <w:keepLines w:val="0"/>
              <w:pageBreakBefore w:val="0"/>
              <w:widowControl w:val="0"/>
              <w:kinsoku/>
              <w:wordWrap/>
              <w:overflowPunct/>
              <w:topLinePunct w:val="0"/>
              <w:autoSpaceDE/>
              <w:autoSpaceDN/>
              <w:bidi w:val="0"/>
              <w:adjustRightInd w:val="0"/>
              <w:snapToGrid w:val="0"/>
              <w:spacing w:line="250" w:lineRule="exact"/>
              <w:jc w:val="both"/>
              <w:textAlignment w:val="auto"/>
              <w:rPr>
                <w:rFonts w:hint="eastAsia"/>
                <w:color w:val="auto"/>
                <w:lang w:val="en-GB"/>
              </w:rPr>
            </w:pPr>
            <w:r>
              <w:rPr>
                <w:rFonts w:hint="eastAsia"/>
                <w:color w:val="auto"/>
                <w:lang w:val="en-GB"/>
              </w:rPr>
              <w:t>（1）是否建立安全生产责任制,明确规定主要负责人、安全管理人员、有关部门等的安全生产职责。</w:t>
            </w:r>
          </w:p>
        </w:tc>
        <w:tc>
          <w:tcPr>
            <w:tcW w:w="2239" w:type="dxa"/>
            <w:noWrap w:val="0"/>
            <w:vAlign w:val="center"/>
          </w:tcPr>
          <w:p w14:paraId="26978B02">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GB" w:eastAsia="zh-CN"/>
              </w:rPr>
              <w:t>建立</w:t>
            </w:r>
            <w:r>
              <w:rPr>
                <w:rFonts w:hint="eastAsia"/>
                <w:color w:val="auto"/>
                <w:lang w:val="en-GB"/>
              </w:rPr>
              <w:t>安全生产责任制，明确各人员职责。</w:t>
            </w:r>
          </w:p>
        </w:tc>
        <w:tc>
          <w:tcPr>
            <w:tcW w:w="746" w:type="dxa"/>
            <w:noWrap w:val="0"/>
            <w:vAlign w:val="center"/>
          </w:tcPr>
          <w:p w14:paraId="58C45A2E">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GB" w:eastAsia="zh-CN"/>
              </w:rPr>
              <w:t>符合</w:t>
            </w:r>
          </w:p>
        </w:tc>
      </w:tr>
      <w:tr w14:paraId="70104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565" w:type="dxa"/>
            <w:vMerge w:val="continue"/>
            <w:noWrap w:val="0"/>
            <w:vAlign w:val="center"/>
          </w:tcPr>
          <w:p w14:paraId="5EF07DE8">
            <w:pPr>
              <w:pStyle w:val="43"/>
              <w:bidi w:val="0"/>
              <w:spacing w:line="240" w:lineRule="auto"/>
              <w:rPr>
                <w:rFonts w:hint="eastAsia"/>
                <w:color w:val="auto"/>
                <w:lang w:val="en-GB"/>
              </w:rPr>
            </w:pPr>
          </w:p>
        </w:tc>
        <w:tc>
          <w:tcPr>
            <w:tcW w:w="1215" w:type="dxa"/>
            <w:vMerge w:val="continue"/>
            <w:noWrap w:val="0"/>
            <w:vAlign w:val="center"/>
          </w:tcPr>
          <w:p w14:paraId="08FEF4C0">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p>
        </w:tc>
        <w:tc>
          <w:tcPr>
            <w:tcW w:w="4729" w:type="dxa"/>
            <w:noWrap w:val="0"/>
            <w:vAlign w:val="center"/>
          </w:tcPr>
          <w:p w14:paraId="12A0E839">
            <w:pPr>
              <w:pStyle w:val="43"/>
              <w:keepNext w:val="0"/>
              <w:keepLines w:val="0"/>
              <w:pageBreakBefore w:val="0"/>
              <w:widowControl w:val="0"/>
              <w:kinsoku/>
              <w:wordWrap/>
              <w:overflowPunct/>
              <w:topLinePunct w:val="0"/>
              <w:autoSpaceDE/>
              <w:autoSpaceDN/>
              <w:bidi w:val="0"/>
              <w:adjustRightInd w:val="0"/>
              <w:snapToGrid w:val="0"/>
              <w:spacing w:line="250" w:lineRule="exact"/>
              <w:jc w:val="both"/>
              <w:textAlignment w:val="auto"/>
              <w:rPr>
                <w:rFonts w:hint="eastAsia"/>
                <w:color w:val="auto"/>
                <w:lang w:val="en-GB"/>
              </w:rPr>
            </w:pPr>
            <w:r>
              <w:rPr>
                <w:rFonts w:hint="eastAsia"/>
                <w:color w:val="auto"/>
                <w:lang w:val="en-GB"/>
              </w:rPr>
              <w:t>（2）是否签订安全责任书。</w:t>
            </w:r>
          </w:p>
        </w:tc>
        <w:tc>
          <w:tcPr>
            <w:tcW w:w="2239" w:type="dxa"/>
            <w:noWrap w:val="0"/>
            <w:vAlign w:val="center"/>
          </w:tcPr>
          <w:p w14:paraId="5454C33C">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GB"/>
              </w:rPr>
              <w:t>签订责任书</w:t>
            </w:r>
          </w:p>
        </w:tc>
        <w:tc>
          <w:tcPr>
            <w:tcW w:w="746" w:type="dxa"/>
            <w:noWrap w:val="0"/>
            <w:vAlign w:val="center"/>
          </w:tcPr>
          <w:p w14:paraId="1413A9E4">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GB" w:eastAsia="zh-CN"/>
              </w:rPr>
              <w:t>符合</w:t>
            </w:r>
          </w:p>
        </w:tc>
      </w:tr>
      <w:tr w14:paraId="52469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565" w:type="dxa"/>
            <w:vMerge w:val="restart"/>
            <w:noWrap w:val="0"/>
            <w:vAlign w:val="center"/>
          </w:tcPr>
          <w:p w14:paraId="0419A2F6">
            <w:pPr>
              <w:pStyle w:val="43"/>
              <w:bidi w:val="0"/>
              <w:spacing w:line="240" w:lineRule="auto"/>
              <w:rPr>
                <w:rFonts w:hint="eastAsia"/>
                <w:color w:val="auto"/>
                <w:lang w:val="en-GB"/>
              </w:rPr>
            </w:pPr>
            <w:r>
              <w:rPr>
                <w:rFonts w:hint="eastAsia"/>
                <w:color w:val="auto"/>
                <w:lang w:val="en-GB"/>
              </w:rPr>
              <w:t>4</w:t>
            </w:r>
          </w:p>
        </w:tc>
        <w:tc>
          <w:tcPr>
            <w:tcW w:w="1215" w:type="dxa"/>
            <w:vMerge w:val="restart"/>
            <w:noWrap w:val="0"/>
            <w:vAlign w:val="center"/>
          </w:tcPr>
          <w:p w14:paraId="265DD898">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GB"/>
              </w:rPr>
              <w:t>安全规章制度和操作规程</w:t>
            </w:r>
          </w:p>
        </w:tc>
        <w:tc>
          <w:tcPr>
            <w:tcW w:w="4729" w:type="dxa"/>
            <w:noWrap w:val="0"/>
            <w:vAlign w:val="center"/>
          </w:tcPr>
          <w:p w14:paraId="74E3CA22">
            <w:pPr>
              <w:pStyle w:val="43"/>
              <w:keepNext w:val="0"/>
              <w:keepLines w:val="0"/>
              <w:pageBreakBefore w:val="0"/>
              <w:widowControl w:val="0"/>
              <w:kinsoku/>
              <w:wordWrap/>
              <w:overflowPunct/>
              <w:topLinePunct w:val="0"/>
              <w:autoSpaceDE/>
              <w:autoSpaceDN/>
              <w:bidi w:val="0"/>
              <w:adjustRightInd w:val="0"/>
              <w:snapToGrid w:val="0"/>
              <w:spacing w:line="250" w:lineRule="exact"/>
              <w:jc w:val="both"/>
              <w:textAlignment w:val="auto"/>
              <w:rPr>
                <w:rFonts w:hint="eastAsia"/>
                <w:color w:val="auto"/>
                <w:lang w:val="en-GB"/>
              </w:rPr>
            </w:pPr>
            <w:r>
              <w:rPr>
                <w:rFonts w:hint="eastAsia"/>
                <w:color w:val="auto"/>
                <w:lang w:val="en-GB"/>
              </w:rPr>
              <w:t>（1）是否建立安全教育培训制度、消防/防火安全制度、设备管理制度、用电安全管理制度、交接班制度、巡检制度、设备维护保养制度、安全投入保障制度、安全生产奖惩制度、安全生产教育培训制度、隐患排查治理制度、安全风险管理制度、事故管理制度等。</w:t>
            </w:r>
          </w:p>
        </w:tc>
        <w:tc>
          <w:tcPr>
            <w:tcW w:w="2239" w:type="dxa"/>
            <w:noWrap w:val="0"/>
            <w:vAlign w:val="center"/>
          </w:tcPr>
          <w:p w14:paraId="75074A8A">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GB"/>
              </w:rPr>
              <w:t>有教育培训、消防安全、设备管理、交接班、巡检、设备维保、安全投入保障、奖惩、隐患排查、风险管理等制度。</w:t>
            </w:r>
          </w:p>
        </w:tc>
        <w:tc>
          <w:tcPr>
            <w:tcW w:w="746" w:type="dxa"/>
            <w:noWrap w:val="0"/>
            <w:vAlign w:val="center"/>
          </w:tcPr>
          <w:p w14:paraId="6D87DE39">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GB" w:eastAsia="zh-CN"/>
              </w:rPr>
              <w:t>符合</w:t>
            </w:r>
          </w:p>
        </w:tc>
      </w:tr>
      <w:tr w14:paraId="4DA05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5" w:type="dxa"/>
            <w:vMerge w:val="continue"/>
            <w:noWrap w:val="0"/>
            <w:vAlign w:val="center"/>
          </w:tcPr>
          <w:p w14:paraId="4F371709">
            <w:pPr>
              <w:pStyle w:val="43"/>
              <w:bidi w:val="0"/>
              <w:spacing w:line="240" w:lineRule="auto"/>
              <w:rPr>
                <w:rFonts w:hint="eastAsia"/>
                <w:color w:val="auto"/>
                <w:lang w:val="en-GB"/>
              </w:rPr>
            </w:pPr>
          </w:p>
        </w:tc>
        <w:tc>
          <w:tcPr>
            <w:tcW w:w="1215" w:type="dxa"/>
            <w:vMerge w:val="continue"/>
            <w:noWrap w:val="0"/>
            <w:vAlign w:val="center"/>
          </w:tcPr>
          <w:p w14:paraId="7D85C93A">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p>
        </w:tc>
        <w:tc>
          <w:tcPr>
            <w:tcW w:w="4729" w:type="dxa"/>
            <w:noWrap w:val="0"/>
            <w:vAlign w:val="center"/>
          </w:tcPr>
          <w:p w14:paraId="51194B28">
            <w:pPr>
              <w:pStyle w:val="43"/>
              <w:keepNext w:val="0"/>
              <w:keepLines w:val="0"/>
              <w:pageBreakBefore w:val="0"/>
              <w:widowControl w:val="0"/>
              <w:kinsoku/>
              <w:wordWrap/>
              <w:overflowPunct/>
              <w:topLinePunct w:val="0"/>
              <w:autoSpaceDE/>
              <w:autoSpaceDN/>
              <w:bidi w:val="0"/>
              <w:adjustRightInd w:val="0"/>
              <w:snapToGrid w:val="0"/>
              <w:spacing w:line="250" w:lineRule="exact"/>
              <w:jc w:val="both"/>
              <w:textAlignment w:val="auto"/>
              <w:rPr>
                <w:rFonts w:hint="eastAsia"/>
                <w:color w:val="auto"/>
                <w:lang w:val="en-GB"/>
              </w:rPr>
            </w:pPr>
            <w:r>
              <w:rPr>
                <w:rFonts w:hint="eastAsia"/>
                <w:color w:val="auto"/>
                <w:lang w:val="en-GB"/>
              </w:rPr>
              <w:t>（2）是否建立制定加油、卸油、计量操作规程等。</w:t>
            </w:r>
          </w:p>
        </w:tc>
        <w:tc>
          <w:tcPr>
            <w:tcW w:w="2239" w:type="dxa"/>
            <w:noWrap w:val="0"/>
            <w:vAlign w:val="center"/>
          </w:tcPr>
          <w:p w14:paraId="210D8E71">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GB"/>
              </w:rPr>
              <w:t>有加油、量油、卸油操作规程。</w:t>
            </w:r>
          </w:p>
        </w:tc>
        <w:tc>
          <w:tcPr>
            <w:tcW w:w="746" w:type="dxa"/>
            <w:noWrap w:val="0"/>
            <w:vAlign w:val="center"/>
          </w:tcPr>
          <w:p w14:paraId="022CF0AA">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GB" w:eastAsia="zh-CN"/>
              </w:rPr>
              <w:t>符合</w:t>
            </w:r>
          </w:p>
        </w:tc>
      </w:tr>
      <w:tr w14:paraId="250A5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565" w:type="dxa"/>
            <w:vMerge w:val="restart"/>
            <w:noWrap w:val="0"/>
            <w:vAlign w:val="center"/>
          </w:tcPr>
          <w:p w14:paraId="4A9A05EC">
            <w:pPr>
              <w:pStyle w:val="43"/>
              <w:bidi w:val="0"/>
              <w:spacing w:line="240" w:lineRule="auto"/>
              <w:rPr>
                <w:rFonts w:hint="eastAsia"/>
                <w:color w:val="auto"/>
                <w:lang w:val="en-GB"/>
              </w:rPr>
            </w:pPr>
            <w:r>
              <w:rPr>
                <w:rFonts w:hint="eastAsia"/>
                <w:color w:val="auto"/>
                <w:lang w:val="en-GB"/>
              </w:rPr>
              <w:t>5</w:t>
            </w:r>
          </w:p>
        </w:tc>
        <w:tc>
          <w:tcPr>
            <w:tcW w:w="1215" w:type="dxa"/>
            <w:vMerge w:val="restart"/>
            <w:noWrap w:val="0"/>
            <w:vAlign w:val="center"/>
          </w:tcPr>
          <w:p w14:paraId="2362910A">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GB"/>
              </w:rPr>
              <w:t>安全投入</w:t>
            </w:r>
          </w:p>
        </w:tc>
        <w:tc>
          <w:tcPr>
            <w:tcW w:w="4729" w:type="dxa"/>
            <w:noWrap w:val="0"/>
            <w:vAlign w:val="center"/>
          </w:tcPr>
          <w:p w14:paraId="7E06EE7E">
            <w:pPr>
              <w:pStyle w:val="43"/>
              <w:keepNext w:val="0"/>
              <w:keepLines w:val="0"/>
              <w:pageBreakBefore w:val="0"/>
              <w:widowControl w:val="0"/>
              <w:kinsoku/>
              <w:wordWrap/>
              <w:overflowPunct/>
              <w:topLinePunct w:val="0"/>
              <w:autoSpaceDE/>
              <w:autoSpaceDN/>
              <w:bidi w:val="0"/>
              <w:adjustRightInd w:val="0"/>
              <w:snapToGrid w:val="0"/>
              <w:spacing w:line="250" w:lineRule="exact"/>
              <w:jc w:val="both"/>
              <w:textAlignment w:val="auto"/>
              <w:rPr>
                <w:rFonts w:hint="eastAsia"/>
                <w:color w:val="auto"/>
                <w:lang w:val="en-GB"/>
              </w:rPr>
            </w:pPr>
            <w:r>
              <w:rPr>
                <w:rFonts w:hint="eastAsia"/>
                <w:color w:val="auto"/>
                <w:lang w:val="en-GB"/>
              </w:rPr>
              <w:t>（1）是否按有关安全生产费用提取规定，提取安全生产费用。</w:t>
            </w:r>
          </w:p>
        </w:tc>
        <w:tc>
          <w:tcPr>
            <w:tcW w:w="2239" w:type="dxa"/>
            <w:noWrap w:val="0"/>
            <w:vAlign w:val="center"/>
          </w:tcPr>
          <w:p w14:paraId="6BC5D5AA">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GB"/>
              </w:rPr>
              <w:t>按要求提取安全生产费用。</w:t>
            </w:r>
          </w:p>
        </w:tc>
        <w:tc>
          <w:tcPr>
            <w:tcW w:w="746" w:type="dxa"/>
            <w:noWrap w:val="0"/>
            <w:vAlign w:val="center"/>
          </w:tcPr>
          <w:p w14:paraId="565B0C23">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GB" w:eastAsia="zh-CN"/>
              </w:rPr>
              <w:t>符合</w:t>
            </w:r>
          </w:p>
        </w:tc>
      </w:tr>
      <w:tr w14:paraId="337FA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65" w:type="dxa"/>
            <w:vMerge w:val="continue"/>
            <w:noWrap w:val="0"/>
            <w:vAlign w:val="center"/>
          </w:tcPr>
          <w:p w14:paraId="57B70763">
            <w:pPr>
              <w:pStyle w:val="43"/>
              <w:bidi w:val="0"/>
              <w:spacing w:line="240" w:lineRule="auto"/>
              <w:rPr>
                <w:rFonts w:hint="eastAsia"/>
                <w:color w:val="auto"/>
                <w:lang w:val="en-GB"/>
              </w:rPr>
            </w:pPr>
          </w:p>
        </w:tc>
        <w:tc>
          <w:tcPr>
            <w:tcW w:w="1215" w:type="dxa"/>
            <w:vMerge w:val="continue"/>
            <w:noWrap w:val="0"/>
            <w:vAlign w:val="center"/>
          </w:tcPr>
          <w:p w14:paraId="538C423A">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p>
        </w:tc>
        <w:tc>
          <w:tcPr>
            <w:tcW w:w="4729" w:type="dxa"/>
            <w:noWrap w:val="0"/>
            <w:vAlign w:val="center"/>
          </w:tcPr>
          <w:p w14:paraId="7BE609A5">
            <w:pPr>
              <w:pStyle w:val="43"/>
              <w:keepNext w:val="0"/>
              <w:keepLines w:val="0"/>
              <w:pageBreakBefore w:val="0"/>
              <w:widowControl w:val="0"/>
              <w:kinsoku/>
              <w:wordWrap/>
              <w:overflowPunct/>
              <w:topLinePunct w:val="0"/>
              <w:autoSpaceDE/>
              <w:autoSpaceDN/>
              <w:bidi w:val="0"/>
              <w:adjustRightInd w:val="0"/>
              <w:snapToGrid w:val="0"/>
              <w:spacing w:line="250" w:lineRule="exact"/>
              <w:jc w:val="both"/>
              <w:textAlignment w:val="auto"/>
              <w:rPr>
                <w:rFonts w:hint="eastAsia"/>
                <w:color w:val="auto"/>
                <w:lang w:val="en-GB"/>
              </w:rPr>
            </w:pPr>
            <w:r>
              <w:rPr>
                <w:rFonts w:hint="eastAsia"/>
                <w:color w:val="auto"/>
                <w:lang w:val="en-GB"/>
              </w:rPr>
              <w:t>（2）安全生产费用使用是否符合要求，专款专用。</w:t>
            </w:r>
          </w:p>
        </w:tc>
        <w:tc>
          <w:tcPr>
            <w:tcW w:w="2239" w:type="dxa"/>
            <w:noWrap w:val="0"/>
            <w:vAlign w:val="center"/>
          </w:tcPr>
          <w:p w14:paraId="0D0D61AA">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GB"/>
              </w:rPr>
              <w:t>符合，专款专用。</w:t>
            </w:r>
          </w:p>
        </w:tc>
        <w:tc>
          <w:tcPr>
            <w:tcW w:w="746" w:type="dxa"/>
            <w:noWrap w:val="0"/>
            <w:vAlign w:val="center"/>
          </w:tcPr>
          <w:p w14:paraId="0C80499C">
            <w:pPr>
              <w:pStyle w:val="43"/>
              <w:keepNext w:val="0"/>
              <w:keepLines w:val="0"/>
              <w:pageBreakBefore w:val="0"/>
              <w:widowControl w:val="0"/>
              <w:kinsoku/>
              <w:wordWrap/>
              <w:overflowPunct/>
              <w:topLinePunct w:val="0"/>
              <w:autoSpaceDE/>
              <w:autoSpaceDN/>
              <w:bidi w:val="0"/>
              <w:adjustRightInd w:val="0"/>
              <w:snapToGrid w:val="0"/>
              <w:spacing w:line="250" w:lineRule="exact"/>
              <w:textAlignment w:val="auto"/>
              <w:rPr>
                <w:rFonts w:hint="eastAsia"/>
                <w:color w:val="auto"/>
                <w:lang w:val="en-GB"/>
              </w:rPr>
            </w:pPr>
            <w:r>
              <w:rPr>
                <w:rFonts w:hint="eastAsia"/>
                <w:color w:val="auto"/>
                <w:lang w:val="en-GB" w:eastAsia="zh-CN"/>
              </w:rPr>
              <w:t>符合</w:t>
            </w:r>
          </w:p>
        </w:tc>
      </w:tr>
      <w:tr w14:paraId="4A681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565" w:type="dxa"/>
            <w:vMerge w:val="continue"/>
            <w:noWrap w:val="0"/>
            <w:vAlign w:val="center"/>
          </w:tcPr>
          <w:p w14:paraId="61AB3736">
            <w:pPr>
              <w:pStyle w:val="43"/>
              <w:bidi w:val="0"/>
              <w:spacing w:line="240" w:lineRule="auto"/>
              <w:rPr>
                <w:rFonts w:hint="eastAsia"/>
                <w:color w:val="auto"/>
                <w:lang w:val="en-GB"/>
              </w:rPr>
            </w:pPr>
          </w:p>
        </w:tc>
        <w:tc>
          <w:tcPr>
            <w:tcW w:w="1215" w:type="dxa"/>
            <w:vMerge w:val="continue"/>
            <w:noWrap w:val="0"/>
            <w:vAlign w:val="center"/>
          </w:tcPr>
          <w:p w14:paraId="55653C83">
            <w:pPr>
              <w:pStyle w:val="43"/>
              <w:bidi w:val="0"/>
              <w:spacing w:line="240" w:lineRule="auto"/>
              <w:rPr>
                <w:rFonts w:hint="eastAsia"/>
                <w:color w:val="auto"/>
                <w:lang w:val="en-GB"/>
              </w:rPr>
            </w:pPr>
          </w:p>
        </w:tc>
        <w:tc>
          <w:tcPr>
            <w:tcW w:w="4729" w:type="dxa"/>
            <w:noWrap w:val="0"/>
            <w:vAlign w:val="center"/>
          </w:tcPr>
          <w:p w14:paraId="6ED73E13">
            <w:pPr>
              <w:pStyle w:val="43"/>
              <w:bidi w:val="0"/>
              <w:spacing w:line="240" w:lineRule="auto"/>
              <w:jc w:val="both"/>
              <w:rPr>
                <w:rFonts w:hint="eastAsia"/>
                <w:color w:val="auto"/>
                <w:lang w:val="en-GB"/>
              </w:rPr>
            </w:pPr>
            <w:r>
              <w:rPr>
                <w:rFonts w:hint="eastAsia"/>
                <w:color w:val="auto"/>
                <w:lang w:val="en-GB"/>
              </w:rPr>
              <w:t>（3）是否依法参加工伤保险或安全责任险，为从业人员缴纳保险费。</w:t>
            </w:r>
          </w:p>
        </w:tc>
        <w:tc>
          <w:tcPr>
            <w:tcW w:w="2239" w:type="dxa"/>
            <w:noWrap w:val="0"/>
            <w:vAlign w:val="center"/>
          </w:tcPr>
          <w:p w14:paraId="75616D4E">
            <w:pPr>
              <w:pStyle w:val="43"/>
              <w:bidi w:val="0"/>
              <w:spacing w:line="240" w:lineRule="auto"/>
              <w:rPr>
                <w:rFonts w:hint="eastAsia"/>
                <w:color w:val="auto"/>
                <w:lang w:val="en-GB"/>
              </w:rPr>
            </w:pPr>
            <w:r>
              <w:rPr>
                <w:rFonts w:hint="eastAsia" w:ascii="Times New Roman" w:hAnsi="Times New Roman" w:eastAsia="宋体" w:cs="Times New Roman"/>
                <w:color w:val="auto"/>
                <w:lang w:val="en-GB"/>
              </w:rPr>
              <w:t>已缴纳工伤保险。</w:t>
            </w:r>
          </w:p>
        </w:tc>
        <w:tc>
          <w:tcPr>
            <w:tcW w:w="746" w:type="dxa"/>
            <w:noWrap w:val="0"/>
            <w:vAlign w:val="center"/>
          </w:tcPr>
          <w:p w14:paraId="6856168A">
            <w:pPr>
              <w:pStyle w:val="43"/>
              <w:bidi w:val="0"/>
              <w:spacing w:line="240" w:lineRule="auto"/>
              <w:rPr>
                <w:rFonts w:hint="eastAsia"/>
                <w:color w:val="auto"/>
                <w:lang w:val="en-GB"/>
              </w:rPr>
            </w:pPr>
            <w:r>
              <w:rPr>
                <w:rFonts w:hint="eastAsia"/>
                <w:color w:val="auto"/>
                <w:lang w:val="en-GB" w:eastAsia="zh-CN"/>
              </w:rPr>
              <w:t>符合</w:t>
            </w:r>
          </w:p>
        </w:tc>
      </w:tr>
      <w:tr w14:paraId="4BCDE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5" w:type="dxa"/>
            <w:vMerge w:val="restart"/>
            <w:noWrap w:val="0"/>
            <w:vAlign w:val="center"/>
          </w:tcPr>
          <w:p w14:paraId="4A71D847">
            <w:pPr>
              <w:pStyle w:val="43"/>
              <w:bidi w:val="0"/>
              <w:spacing w:line="240" w:lineRule="auto"/>
              <w:rPr>
                <w:rFonts w:hint="eastAsia"/>
                <w:color w:val="auto"/>
                <w:lang w:val="en-GB"/>
              </w:rPr>
            </w:pPr>
            <w:r>
              <w:rPr>
                <w:rFonts w:hint="eastAsia"/>
                <w:color w:val="auto"/>
                <w:lang w:val="en-GB"/>
              </w:rPr>
              <w:t>6</w:t>
            </w:r>
          </w:p>
        </w:tc>
        <w:tc>
          <w:tcPr>
            <w:tcW w:w="1215" w:type="dxa"/>
            <w:vMerge w:val="restart"/>
            <w:noWrap w:val="0"/>
            <w:vAlign w:val="center"/>
          </w:tcPr>
          <w:p w14:paraId="48810E7B">
            <w:pPr>
              <w:pStyle w:val="43"/>
              <w:bidi w:val="0"/>
              <w:spacing w:line="240" w:lineRule="auto"/>
              <w:rPr>
                <w:rFonts w:hint="eastAsia"/>
                <w:color w:val="auto"/>
                <w:lang w:val="en-GB"/>
              </w:rPr>
            </w:pPr>
            <w:r>
              <w:rPr>
                <w:rFonts w:hint="eastAsia"/>
                <w:color w:val="auto"/>
                <w:lang w:val="en-GB"/>
              </w:rPr>
              <w:t>安全教育培训</w:t>
            </w:r>
          </w:p>
        </w:tc>
        <w:tc>
          <w:tcPr>
            <w:tcW w:w="4729" w:type="dxa"/>
            <w:noWrap w:val="0"/>
            <w:vAlign w:val="center"/>
          </w:tcPr>
          <w:p w14:paraId="2F3F5A43">
            <w:pPr>
              <w:pStyle w:val="43"/>
              <w:bidi w:val="0"/>
              <w:spacing w:line="240" w:lineRule="auto"/>
              <w:jc w:val="both"/>
              <w:rPr>
                <w:rFonts w:hint="eastAsia"/>
                <w:color w:val="auto"/>
                <w:lang w:val="en-GB"/>
              </w:rPr>
            </w:pPr>
            <w:r>
              <w:rPr>
                <w:rFonts w:hint="eastAsia"/>
                <w:color w:val="auto"/>
                <w:lang w:val="en-GB"/>
              </w:rPr>
              <w:t>（1）主要负责人、安全管理人员是否定期参加安全教育培训。</w:t>
            </w:r>
          </w:p>
        </w:tc>
        <w:tc>
          <w:tcPr>
            <w:tcW w:w="2239" w:type="dxa"/>
            <w:noWrap w:val="0"/>
            <w:vAlign w:val="center"/>
          </w:tcPr>
          <w:p w14:paraId="5DEC6A63">
            <w:pPr>
              <w:pStyle w:val="43"/>
              <w:bidi w:val="0"/>
              <w:spacing w:line="240" w:lineRule="auto"/>
              <w:rPr>
                <w:rFonts w:hint="eastAsia"/>
                <w:color w:val="auto"/>
                <w:lang w:val="en-GB"/>
              </w:rPr>
            </w:pPr>
            <w:r>
              <w:rPr>
                <w:rFonts w:hint="eastAsia"/>
                <w:color w:val="auto"/>
                <w:lang w:val="en-GB"/>
              </w:rPr>
              <w:t>有安全培训记录。</w:t>
            </w:r>
          </w:p>
        </w:tc>
        <w:tc>
          <w:tcPr>
            <w:tcW w:w="746" w:type="dxa"/>
            <w:noWrap w:val="0"/>
            <w:vAlign w:val="center"/>
          </w:tcPr>
          <w:p w14:paraId="70E7D117">
            <w:pPr>
              <w:pStyle w:val="43"/>
              <w:bidi w:val="0"/>
              <w:spacing w:line="240" w:lineRule="auto"/>
              <w:rPr>
                <w:rFonts w:hint="eastAsia"/>
                <w:color w:val="auto"/>
                <w:lang w:val="en-GB"/>
              </w:rPr>
            </w:pPr>
            <w:r>
              <w:rPr>
                <w:rFonts w:hint="eastAsia"/>
                <w:color w:val="auto"/>
                <w:lang w:val="en-GB" w:eastAsia="zh-CN"/>
              </w:rPr>
              <w:t>符合</w:t>
            </w:r>
          </w:p>
        </w:tc>
      </w:tr>
      <w:tr w14:paraId="7E432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5" w:type="dxa"/>
            <w:vMerge w:val="continue"/>
            <w:noWrap w:val="0"/>
            <w:vAlign w:val="center"/>
          </w:tcPr>
          <w:p w14:paraId="17CDBC34">
            <w:pPr>
              <w:pStyle w:val="43"/>
              <w:bidi w:val="0"/>
              <w:spacing w:line="240" w:lineRule="auto"/>
              <w:rPr>
                <w:rFonts w:hint="eastAsia"/>
                <w:color w:val="auto"/>
                <w:lang w:val="en-GB"/>
              </w:rPr>
            </w:pPr>
          </w:p>
        </w:tc>
        <w:tc>
          <w:tcPr>
            <w:tcW w:w="1215" w:type="dxa"/>
            <w:vMerge w:val="continue"/>
            <w:noWrap w:val="0"/>
            <w:vAlign w:val="center"/>
          </w:tcPr>
          <w:p w14:paraId="28A90B3B">
            <w:pPr>
              <w:pStyle w:val="43"/>
              <w:bidi w:val="0"/>
              <w:spacing w:line="240" w:lineRule="auto"/>
              <w:rPr>
                <w:rFonts w:hint="eastAsia"/>
                <w:color w:val="auto"/>
                <w:lang w:val="en-GB"/>
              </w:rPr>
            </w:pPr>
          </w:p>
        </w:tc>
        <w:tc>
          <w:tcPr>
            <w:tcW w:w="4729" w:type="dxa"/>
            <w:noWrap w:val="0"/>
            <w:vAlign w:val="center"/>
          </w:tcPr>
          <w:p w14:paraId="555FC027">
            <w:pPr>
              <w:pStyle w:val="43"/>
              <w:bidi w:val="0"/>
              <w:spacing w:line="240" w:lineRule="auto"/>
              <w:jc w:val="both"/>
              <w:rPr>
                <w:rFonts w:hint="eastAsia"/>
                <w:color w:val="auto"/>
                <w:lang w:val="en-GB"/>
              </w:rPr>
            </w:pPr>
            <w:r>
              <w:rPr>
                <w:rFonts w:hint="eastAsia"/>
                <w:color w:val="auto"/>
                <w:lang w:val="en-GB"/>
              </w:rPr>
              <w:t>（2）加油站人员是否定期参加日常安全教育培训。</w:t>
            </w:r>
          </w:p>
        </w:tc>
        <w:tc>
          <w:tcPr>
            <w:tcW w:w="2239" w:type="dxa"/>
            <w:noWrap w:val="0"/>
            <w:vAlign w:val="center"/>
          </w:tcPr>
          <w:p w14:paraId="52D39BBA">
            <w:pPr>
              <w:pStyle w:val="43"/>
              <w:bidi w:val="0"/>
              <w:spacing w:line="240" w:lineRule="auto"/>
              <w:rPr>
                <w:rFonts w:hint="eastAsia"/>
                <w:color w:val="auto"/>
                <w:lang w:val="en-GB"/>
              </w:rPr>
            </w:pPr>
            <w:r>
              <w:rPr>
                <w:rFonts w:hint="eastAsia"/>
                <w:color w:val="auto"/>
                <w:lang w:val="en-GB"/>
              </w:rPr>
              <w:t>定期组织人员参加教育培训。</w:t>
            </w:r>
          </w:p>
        </w:tc>
        <w:tc>
          <w:tcPr>
            <w:tcW w:w="746" w:type="dxa"/>
            <w:noWrap w:val="0"/>
            <w:vAlign w:val="center"/>
          </w:tcPr>
          <w:p w14:paraId="2735FE46">
            <w:pPr>
              <w:pStyle w:val="43"/>
              <w:bidi w:val="0"/>
              <w:spacing w:line="240" w:lineRule="auto"/>
              <w:rPr>
                <w:rFonts w:hint="eastAsia"/>
                <w:color w:val="auto"/>
                <w:lang w:val="en-GB"/>
              </w:rPr>
            </w:pPr>
            <w:r>
              <w:rPr>
                <w:rFonts w:hint="eastAsia"/>
                <w:color w:val="auto"/>
                <w:lang w:val="en-GB" w:eastAsia="zh-CN"/>
              </w:rPr>
              <w:t>符合</w:t>
            </w:r>
          </w:p>
        </w:tc>
      </w:tr>
      <w:tr w14:paraId="6AF10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5" w:type="dxa"/>
            <w:vMerge w:val="continue"/>
            <w:noWrap w:val="0"/>
            <w:vAlign w:val="center"/>
          </w:tcPr>
          <w:p w14:paraId="19A96495">
            <w:pPr>
              <w:pStyle w:val="43"/>
              <w:bidi w:val="0"/>
              <w:spacing w:line="240" w:lineRule="auto"/>
              <w:rPr>
                <w:rFonts w:hint="eastAsia"/>
                <w:color w:val="auto"/>
                <w:lang w:val="en-GB"/>
              </w:rPr>
            </w:pPr>
          </w:p>
        </w:tc>
        <w:tc>
          <w:tcPr>
            <w:tcW w:w="1215" w:type="dxa"/>
            <w:vMerge w:val="continue"/>
            <w:noWrap w:val="0"/>
            <w:vAlign w:val="center"/>
          </w:tcPr>
          <w:p w14:paraId="6FED8A80">
            <w:pPr>
              <w:pStyle w:val="43"/>
              <w:bidi w:val="0"/>
              <w:spacing w:line="240" w:lineRule="auto"/>
              <w:rPr>
                <w:rFonts w:hint="eastAsia"/>
                <w:color w:val="auto"/>
                <w:lang w:val="en-GB"/>
              </w:rPr>
            </w:pPr>
          </w:p>
        </w:tc>
        <w:tc>
          <w:tcPr>
            <w:tcW w:w="4729" w:type="dxa"/>
            <w:noWrap w:val="0"/>
            <w:vAlign w:val="center"/>
          </w:tcPr>
          <w:p w14:paraId="557BD78D">
            <w:pPr>
              <w:pStyle w:val="43"/>
              <w:bidi w:val="0"/>
              <w:spacing w:line="240" w:lineRule="auto"/>
              <w:jc w:val="both"/>
              <w:rPr>
                <w:rFonts w:hint="eastAsia"/>
                <w:color w:val="auto"/>
                <w:lang w:val="en-GB"/>
              </w:rPr>
            </w:pPr>
            <w:r>
              <w:rPr>
                <w:rFonts w:hint="eastAsia"/>
                <w:color w:val="auto"/>
                <w:lang w:val="en-GB"/>
              </w:rPr>
              <w:t>（3)新入职人员上岗前是否经过安全操作规程及应急处置等有关安全知识的培训，并建立教育培训档案。</w:t>
            </w:r>
          </w:p>
        </w:tc>
        <w:tc>
          <w:tcPr>
            <w:tcW w:w="2239" w:type="dxa"/>
            <w:noWrap w:val="0"/>
            <w:vAlign w:val="center"/>
          </w:tcPr>
          <w:p w14:paraId="682D19E8">
            <w:pPr>
              <w:pStyle w:val="43"/>
              <w:bidi w:val="0"/>
              <w:spacing w:line="240" w:lineRule="auto"/>
              <w:rPr>
                <w:rFonts w:hint="eastAsia"/>
                <w:color w:val="auto"/>
                <w:lang w:val="en-GB"/>
              </w:rPr>
            </w:pPr>
            <w:r>
              <w:rPr>
                <w:rFonts w:hint="eastAsia"/>
                <w:color w:val="auto"/>
                <w:lang w:val="en-GB"/>
              </w:rPr>
              <w:t>新员工经过岗前培训合格后上岗作业。</w:t>
            </w:r>
          </w:p>
        </w:tc>
        <w:tc>
          <w:tcPr>
            <w:tcW w:w="746" w:type="dxa"/>
            <w:noWrap w:val="0"/>
            <w:vAlign w:val="center"/>
          </w:tcPr>
          <w:p w14:paraId="140A5E36">
            <w:pPr>
              <w:pStyle w:val="43"/>
              <w:bidi w:val="0"/>
              <w:spacing w:line="240" w:lineRule="auto"/>
              <w:rPr>
                <w:rFonts w:hint="eastAsia"/>
                <w:color w:val="auto"/>
                <w:lang w:val="en-GB"/>
              </w:rPr>
            </w:pPr>
            <w:r>
              <w:rPr>
                <w:rFonts w:hint="eastAsia"/>
                <w:color w:val="auto"/>
                <w:lang w:val="en-GB" w:eastAsia="zh-CN"/>
              </w:rPr>
              <w:t>符合</w:t>
            </w:r>
          </w:p>
        </w:tc>
      </w:tr>
      <w:tr w14:paraId="57FC6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5" w:type="dxa"/>
            <w:vMerge w:val="restart"/>
            <w:noWrap w:val="0"/>
            <w:vAlign w:val="center"/>
          </w:tcPr>
          <w:p w14:paraId="7F707ADE">
            <w:pPr>
              <w:pStyle w:val="43"/>
              <w:bidi w:val="0"/>
              <w:spacing w:line="240" w:lineRule="auto"/>
              <w:rPr>
                <w:rFonts w:hint="eastAsia"/>
                <w:color w:val="auto"/>
                <w:lang w:val="en-GB"/>
              </w:rPr>
            </w:pPr>
            <w:r>
              <w:rPr>
                <w:rFonts w:hint="eastAsia"/>
                <w:color w:val="auto"/>
                <w:lang w:val="en-GB"/>
              </w:rPr>
              <w:t>7</w:t>
            </w:r>
          </w:p>
        </w:tc>
        <w:tc>
          <w:tcPr>
            <w:tcW w:w="1215" w:type="dxa"/>
            <w:vMerge w:val="restart"/>
            <w:noWrap w:val="0"/>
            <w:vAlign w:val="center"/>
          </w:tcPr>
          <w:p w14:paraId="4402D2BC">
            <w:pPr>
              <w:pStyle w:val="43"/>
              <w:bidi w:val="0"/>
              <w:spacing w:line="240" w:lineRule="auto"/>
              <w:rPr>
                <w:rFonts w:hint="eastAsia"/>
                <w:color w:val="auto"/>
                <w:lang w:val="en-GB"/>
              </w:rPr>
            </w:pPr>
            <w:r>
              <w:rPr>
                <w:rFonts w:hint="eastAsia"/>
                <w:color w:val="auto"/>
                <w:lang w:val="en-GB"/>
              </w:rPr>
              <w:t>隐患排查治理</w:t>
            </w:r>
          </w:p>
        </w:tc>
        <w:tc>
          <w:tcPr>
            <w:tcW w:w="4729" w:type="dxa"/>
            <w:noWrap w:val="0"/>
            <w:vAlign w:val="center"/>
          </w:tcPr>
          <w:p w14:paraId="1E47B3D7">
            <w:pPr>
              <w:pStyle w:val="43"/>
              <w:bidi w:val="0"/>
              <w:spacing w:line="240" w:lineRule="auto"/>
              <w:ind w:left="210" w:hanging="210" w:hangingChars="100"/>
              <w:jc w:val="both"/>
              <w:rPr>
                <w:rFonts w:hint="eastAsia"/>
                <w:color w:val="auto"/>
                <w:lang w:val="en-GB"/>
              </w:rPr>
            </w:pPr>
            <w:r>
              <w:rPr>
                <w:rFonts w:hint="eastAsia"/>
                <w:color w:val="auto"/>
                <w:lang w:val="en-GB"/>
              </w:rPr>
              <w:t>（1）是否建立定期安全检查及隐患排查治理制度。</w:t>
            </w:r>
          </w:p>
        </w:tc>
        <w:tc>
          <w:tcPr>
            <w:tcW w:w="2239" w:type="dxa"/>
            <w:noWrap w:val="0"/>
            <w:vAlign w:val="center"/>
          </w:tcPr>
          <w:p w14:paraId="4C6305A6">
            <w:pPr>
              <w:pStyle w:val="43"/>
              <w:bidi w:val="0"/>
              <w:spacing w:line="240" w:lineRule="auto"/>
              <w:rPr>
                <w:rFonts w:hint="eastAsia"/>
                <w:color w:val="auto"/>
                <w:lang w:val="en-GB"/>
              </w:rPr>
            </w:pPr>
            <w:r>
              <w:rPr>
                <w:rFonts w:hint="eastAsia"/>
                <w:color w:val="auto"/>
                <w:lang w:val="en-GB"/>
              </w:rPr>
              <w:t>有隐患排查治理制度。</w:t>
            </w:r>
          </w:p>
        </w:tc>
        <w:tc>
          <w:tcPr>
            <w:tcW w:w="746" w:type="dxa"/>
            <w:noWrap w:val="0"/>
            <w:vAlign w:val="center"/>
          </w:tcPr>
          <w:p w14:paraId="72FABE45">
            <w:pPr>
              <w:pStyle w:val="43"/>
              <w:bidi w:val="0"/>
              <w:spacing w:line="240" w:lineRule="auto"/>
              <w:rPr>
                <w:rFonts w:hint="eastAsia"/>
                <w:color w:val="auto"/>
                <w:lang w:val="en-GB"/>
              </w:rPr>
            </w:pPr>
            <w:r>
              <w:rPr>
                <w:rFonts w:hint="eastAsia"/>
                <w:color w:val="auto"/>
                <w:lang w:val="en-GB" w:eastAsia="zh-CN"/>
              </w:rPr>
              <w:t>符合</w:t>
            </w:r>
          </w:p>
        </w:tc>
      </w:tr>
      <w:tr w14:paraId="22895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565" w:type="dxa"/>
            <w:vMerge w:val="continue"/>
            <w:noWrap w:val="0"/>
            <w:vAlign w:val="center"/>
          </w:tcPr>
          <w:p w14:paraId="25EB546A">
            <w:pPr>
              <w:pStyle w:val="43"/>
              <w:bidi w:val="0"/>
              <w:spacing w:line="240" w:lineRule="auto"/>
              <w:rPr>
                <w:rFonts w:hint="eastAsia"/>
                <w:color w:val="auto"/>
                <w:lang w:val="en-GB"/>
              </w:rPr>
            </w:pPr>
          </w:p>
        </w:tc>
        <w:tc>
          <w:tcPr>
            <w:tcW w:w="1215" w:type="dxa"/>
            <w:vMerge w:val="continue"/>
            <w:noWrap w:val="0"/>
            <w:vAlign w:val="center"/>
          </w:tcPr>
          <w:p w14:paraId="2135C3D0">
            <w:pPr>
              <w:pStyle w:val="43"/>
              <w:bidi w:val="0"/>
              <w:spacing w:line="240" w:lineRule="auto"/>
              <w:rPr>
                <w:rFonts w:hint="eastAsia"/>
                <w:color w:val="auto"/>
                <w:lang w:val="en-GB"/>
              </w:rPr>
            </w:pPr>
          </w:p>
        </w:tc>
        <w:tc>
          <w:tcPr>
            <w:tcW w:w="4729" w:type="dxa"/>
            <w:noWrap w:val="0"/>
            <w:vAlign w:val="center"/>
          </w:tcPr>
          <w:p w14:paraId="2758745F">
            <w:pPr>
              <w:pStyle w:val="43"/>
              <w:bidi w:val="0"/>
              <w:spacing w:line="240" w:lineRule="auto"/>
              <w:jc w:val="both"/>
              <w:rPr>
                <w:rFonts w:hint="eastAsia"/>
                <w:color w:val="auto"/>
                <w:lang w:val="en-GB"/>
              </w:rPr>
            </w:pPr>
            <w:r>
              <w:rPr>
                <w:rFonts w:hint="eastAsia"/>
                <w:color w:val="auto"/>
                <w:lang w:val="en-GB"/>
              </w:rPr>
              <w:t>（2）是否按照计划和要求进行相应的安全检查并保存记录。</w:t>
            </w:r>
          </w:p>
        </w:tc>
        <w:tc>
          <w:tcPr>
            <w:tcW w:w="2239" w:type="dxa"/>
            <w:noWrap w:val="0"/>
            <w:vAlign w:val="center"/>
          </w:tcPr>
          <w:p w14:paraId="3868733F">
            <w:pPr>
              <w:pStyle w:val="43"/>
              <w:bidi w:val="0"/>
              <w:spacing w:line="240" w:lineRule="auto"/>
              <w:rPr>
                <w:rFonts w:hint="eastAsia"/>
                <w:color w:val="auto"/>
                <w:lang w:val="en-GB"/>
              </w:rPr>
            </w:pPr>
            <w:r>
              <w:rPr>
                <w:rFonts w:hint="eastAsia"/>
                <w:color w:val="auto"/>
                <w:lang w:val="en-GB"/>
              </w:rPr>
              <w:t>按要求定期进行检查</w:t>
            </w:r>
          </w:p>
        </w:tc>
        <w:tc>
          <w:tcPr>
            <w:tcW w:w="746" w:type="dxa"/>
            <w:noWrap w:val="0"/>
            <w:vAlign w:val="center"/>
          </w:tcPr>
          <w:p w14:paraId="4422DDE7">
            <w:pPr>
              <w:pStyle w:val="43"/>
              <w:bidi w:val="0"/>
              <w:spacing w:line="240" w:lineRule="auto"/>
              <w:rPr>
                <w:rFonts w:hint="eastAsia"/>
                <w:color w:val="auto"/>
                <w:lang w:val="en-GB"/>
              </w:rPr>
            </w:pPr>
            <w:r>
              <w:rPr>
                <w:rFonts w:hint="eastAsia"/>
                <w:color w:val="auto"/>
                <w:lang w:val="en-GB" w:eastAsia="zh-CN"/>
              </w:rPr>
              <w:t>符合</w:t>
            </w:r>
          </w:p>
        </w:tc>
      </w:tr>
      <w:tr w14:paraId="2D810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565" w:type="dxa"/>
            <w:vMerge w:val="continue"/>
            <w:noWrap w:val="0"/>
            <w:vAlign w:val="center"/>
          </w:tcPr>
          <w:p w14:paraId="499772DD">
            <w:pPr>
              <w:pStyle w:val="43"/>
              <w:bidi w:val="0"/>
              <w:spacing w:line="240" w:lineRule="auto"/>
              <w:rPr>
                <w:rFonts w:hint="eastAsia"/>
                <w:color w:val="auto"/>
                <w:lang w:val="en-GB"/>
              </w:rPr>
            </w:pPr>
          </w:p>
        </w:tc>
        <w:tc>
          <w:tcPr>
            <w:tcW w:w="1215" w:type="dxa"/>
            <w:vMerge w:val="continue"/>
            <w:noWrap w:val="0"/>
            <w:vAlign w:val="center"/>
          </w:tcPr>
          <w:p w14:paraId="32526916">
            <w:pPr>
              <w:pStyle w:val="43"/>
              <w:bidi w:val="0"/>
              <w:spacing w:line="240" w:lineRule="auto"/>
              <w:rPr>
                <w:rFonts w:hint="eastAsia"/>
                <w:color w:val="auto"/>
                <w:lang w:val="en-GB"/>
              </w:rPr>
            </w:pPr>
          </w:p>
        </w:tc>
        <w:tc>
          <w:tcPr>
            <w:tcW w:w="4729" w:type="dxa"/>
            <w:noWrap w:val="0"/>
            <w:vAlign w:val="center"/>
          </w:tcPr>
          <w:p w14:paraId="2D560EF7">
            <w:pPr>
              <w:pStyle w:val="43"/>
              <w:bidi w:val="0"/>
              <w:spacing w:line="240" w:lineRule="auto"/>
              <w:jc w:val="both"/>
              <w:rPr>
                <w:rFonts w:hint="eastAsia"/>
                <w:color w:val="auto"/>
                <w:lang w:val="en-GB"/>
              </w:rPr>
            </w:pPr>
            <w:r>
              <w:rPr>
                <w:rFonts w:hint="eastAsia"/>
                <w:color w:val="auto"/>
                <w:lang w:val="en-GB"/>
              </w:rPr>
              <w:t>（3）安全检查出的事故隐患是否闭合。</w:t>
            </w:r>
          </w:p>
        </w:tc>
        <w:tc>
          <w:tcPr>
            <w:tcW w:w="2239" w:type="dxa"/>
            <w:noWrap w:val="0"/>
            <w:vAlign w:val="center"/>
          </w:tcPr>
          <w:p w14:paraId="194E4EC1">
            <w:pPr>
              <w:pStyle w:val="43"/>
              <w:bidi w:val="0"/>
              <w:spacing w:line="240" w:lineRule="auto"/>
              <w:rPr>
                <w:rFonts w:hint="eastAsia"/>
                <w:color w:val="auto"/>
                <w:lang w:val="en-GB"/>
              </w:rPr>
            </w:pPr>
            <w:r>
              <w:rPr>
                <w:rFonts w:hint="eastAsia"/>
                <w:color w:val="auto"/>
                <w:lang w:val="en-GB"/>
              </w:rPr>
              <w:t>隐患排查有闭环</w:t>
            </w:r>
          </w:p>
        </w:tc>
        <w:tc>
          <w:tcPr>
            <w:tcW w:w="746" w:type="dxa"/>
            <w:noWrap w:val="0"/>
            <w:vAlign w:val="center"/>
          </w:tcPr>
          <w:p w14:paraId="2F8696BC">
            <w:pPr>
              <w:pStyle w:val="43"/>
              <w:bidi w:val="0"/>
              <w:spacing w:line="240" w:lineRule="auto"/>
              <w:rPr>
                <w:rFonts w:hint="eastAsia"/>
                <w:color w:val="auto"/>
                <w:lang w:val="en-GB"/>
              </w:rPr>
            </w:pPr>
            <w:r>
              <w:rPr>
                <w:rFonts w:hint="eastAsia"/>
                <w:color w:val="auto"/>
                <w:lang w:val="en-GB" w:eastAsia="zh-CN"/>
              </w:rPr>
              <w:t>符合</w:t>
            </w:r>
          </w:p>
        </w:tc>
      </w:tr>
      <w:tr w14:paraId="7A97A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565" w:type="dxa"/>
            <w:vMerge w:val="restart"/>
            <w:noWrap w:val="0"/>
            <w:vAlign w:val="center"/>
          </w:tcPr>
          <w:p w14:paraId="0230583C">
            <w:pPr>
              <w:pStyle w:val="43"/>
              <w:bidi w:val="0"/>
              <w:spacing w:line="240" w:lineRule="auto"/>
              <w:rPr>
                <w:rFonts w:hint="eastAsia"/>
                <w:color w:val="auto"/>
                <w:lang w:val="en-GB"/>
              </w:rPr>
            </w:pPr>
            <w:r>
              <w:rPr>
                <w:rFonts w:hint="eastAsia"/>
                <w:color w:val="auto"/>
                <w:lang w:val="en-GB"/>
              </w:rPr>
              <w:t>8</w:t>
            </w:r>
          </w:p>
        </w:tc>
        <w:tc>
          <w:tcPr>
            <w:tcW w:w="1215" w:type="dxa"/>
            <w:vMerge w:val="restart"/>
            <w:noWrap w:val="0"/>
            <w:vAlign w:val="center"/>
          </w:tcPr>
          <w:p w14:paraId="5EF9AD5D">
            <w:pPr>
              <w:pStyle w:val="43"/>
              <w:bidi w:val="0"/>
              <w:spacing w:line="240" w:lineRule="auto"/>
              <w:rPr>
                <w:rFonts w:hint="eastAsia"/>
                <w:color w:val="auto"/>
                <w:lang w:val="en-GB"/>
              </w:rPr>
            </w:pPr>
            <w:r>
              <w:rPr>
                <w:rFonts w:hint="eastAsia"/>
                <w:color w:val="auto"/>
                <w:lang w:val="en-GB"/>
              </w:rPr>
              <w:t>风险分级及管控措施</w:t>
            </w:r>
          </w:p>
        </w:tc>
        <w:tc>
          <w:tcPr>
            <w:tcW w:w="4729" w:type="dxa"/>
            <w:noWrap w:val="0"/>
            <w:vAlign w:val="center"/>
          </w:tcPr>
          <w:p w14:paraId="570049AD">
            <w:pPr>
              <w:pStyle w:val="43"/>
              <w:bidi w:val="0"/>
              <w:spacing w:line="240" w:lineRule="auto"/>
              <w:jc w:val="both"/>
              <w:rPr>
                <w:rFonts w:hint="eastAsia"/>
                <w:color w:val="auto"/>
                <w:lang w:val="en-GB"/>
              </w:rPr>
            </w:pPr>
            <w:r>
              <w:rPr>
                <w:rFonts w:hint="eastAsia"/>
                <w:color w:val="auto"/>
                <w:lang w:val="en-GB"/>
              </w:rPr>
              <w:t>是否建立健全安全风险分级管控管理制度。</w:t>
            </w:r>
          </w:p>
        </w:tc>
        <w:tc>
          <w:tcPr>
            <w:tcW w:w="2239" w:type="dxa"/>
            <w:noWrap w:val="0"/>
            <w:vAlign w:val="center"/>
          </w:tcPr>
          <w:p w14:paraId="74757551">
            <w:pPr>
              <w:pStyle w:val="43"/>
              <w:bidi w:val="0"/>
              <w:spacing w:line="240" w:lineRule="auto"/>
              <w:rPr>
                <w:rFonts w:hint="eastAsia"/>
                <w:color w:val="auto"/>
                <w:lang w:val="en-GB"/>
              </w:rPr>
            </w:pPr>
            <w:r>
              <w:rPr>
                <w:rFonts w:hint="eastAsia"/>
                <w:color w:val="auto"/>
                <w:lang w:val="en-GB" w:eastAsia="zh-CN"/>
              </w:rPr>
              <w:t>有相关管理制度</w:t>
            </w:r>
          </w:p>
        </w:tc>
        <w:tc>
          <w:tcPr>
            <w:tcW w:w="746" w:type="dxa"/>
            <w:noWrap w:val="0"/>
            <w:vAlign w:val="center"/>
          </w:tcPr>
          <w:p w14:paraId="168A16F9">
            <w:pPr>
              <w:pStyle w:val="43"/>
              <w:bidi w:val="0"/>
              <w:spacing w:line="240" w:lineRule="auto"/>
              <w:rPr>
                <w:rFonts w:hint="eastAsia"/>
                <w:color w:val="auto"/>
                <w:lang w:val="en-GB"/>
              </w:rPr>
            </w:pPr>
            <w:r>
              <w:rPr>
                <w:rFonts w:hint="eastAsia"/>
                <w:color w:val="auto"/>
                <w:lang w:val="en-GB" w:eastAsia="zh-CN"/>
              </w:rPr>
              <w:t>符合</w:t>
            </w:r>
          </w:p>
        </w:tc>
      </w:tr>
      <w:tr w14:paraId="32990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565" w:type="dxa"/>
            <w:vMerge w:val="continue"/>
            <w:noWrap w:val="0"/>
            <w:vAlign w:val="center"/>
          </w:tcPr>
          <w:p w14:paraId="672F5CD3">
            <w:pPr>
              <w:pStyle w:val="43"/>
              <w:bidi w:val="0"/>
              <w:spacing w:line="240" w:lineRule="auto"/>
              <w:rPr>
                <w:rFonts w:hint="eastAsia"/>
                <w:color w:val="auto"/>
                <w:lang w:val="en-GB"/>
              </w:rPr>
            </w:pPr>
          </w:p>
        </w:tc>
        <w:tc>
          <w:tcPr>
            <w:tcW w:w="1215" w:type="dxa"/>
            <w:vMerge w:val="continue"/>
            <w:noWrap w:val="0"/>
            <w:vAlign w:val="center"/>
          </w:tcPr>
          <w:p w14:paraId="73523B55">
            <w:pPr>
              <w:pStyle w:val="43"/>
              <w:bidi w:val="0"/>
              <w:spacing w:line="240" w:lineRule="auto"/>
              <w:rPr>
                <w:rFonts w:hint="eastAsia"/>
                <w:color w:val="auto"/>
                <w:lang w:val="en-GB"/>
              </w:rPr>
            </w:pPr>
          </w:p>
        </w:tc>
        <w:tc>
          <w:tcPr>
            <w:tcW w:w="4729" w:type="dxa"/>
            <w:noWrap w:val="0"/>
            <w:vAlign w:val="center"/>
          </w:tcPr>
          <w:p w14:paraId="559A6CF8">
            <w:pPr>
              <w:pStyle w:val="43"/>
              <w:bidi w:val="0"/>
              <w:spacing w:line="240" w:lineRule="auto"/>
              <w:jc w:val="both"/>
              <w:rPr>
                <w:rFonts w:hint="eastAsia"/>
                <w:color w:val="auto"/>
                <w:lang w:val="en-GB"/>
              </w:rPr>
            </w:pPr>
            <w:r>
              <w:rPr>
                <w:rFonts w:hint="eastAsia"/>
                <w:color w:val="auto"/>
                <w:lang w:val="en-GB"/>
              </w:rPr>
              <w:t>是否组织全员参与风险分级辨识。</w:t>
            </w:r>
          </w:p>
        </w:tc>
        <w:tc>
          <w:tcPr>
            <w:tcW w:w="2239" w:type="dxa"/>
            <w:noWrap w:val="0"/>
            <w:vAlign w:val="center"/>
          </w:tcPr>
          <w:p w14:paraId="2F474542">
            <w:pPr>
              <w:pStyle w:val="43"/>
              <w:bidi w:val="0"/>
              <w:spacing w:line="240" w:lineRule="auto"/>
              <w:rPr>
                <w:rFonts w:hint="eastAsia"/>
                <w:color w:val="auto"/>
                <w:lang w:val="en-GB"/>
              </w:rPr>
            </w:pPr>
            <w:r>
              <w:rPr>
                <w:rFonts w:hint="eastAsia"/>
                <w:color w:val="auto"/>
                <w:lang w:val="en-GB"/>
              </w:rPr>
              <w:t>全员参与</w:t>
            </w:r>
          </w:p>
        </w:tc>
        <w:tc>
          <w:tcPr>
            <w:tcW w:w="746" w:type="dxa"/>
            <w:noWrap w:val="0"/>
            <w:vAlign w:val="center"/>
          </w:tcPr>
          <w:p w14:paraId="203B17E1">
            <w:pPr>
              <w:pStyle w:val="43"/>
              <w:bidi w:val="0"/>
              <w:spacing w:line="240" w:lineRule="auto"/>
              <w:rPr>
                <w:rFonts w:hint="eastAsia"/>
                <w:color w:val="auto"/>
                <w:lang w:val="en-GB"/>
              </w:rPr>
            </w:pPr>
            <w:r>
              <w:rPr>
                <w:rFonts w:hint="eastAsia"/>
                <w:color w:val="auto"/>
                <w:lang w:val="en-GB" w:eastAsia="zh-CN"/>
              </w:rPr>
              <w:t>符合</w:t>
            </w:r>
          </w:p>
        </w:tc>
      </w:tr>
      <w:tr w14:paraId="450ED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565" w:type="dxa"/>
            <w:vMerge w:val="restart"/>
            <w:noWrap w:val="0"/>
            <w:vAlign w:val="center"/>
          </w:tcPr>
          <w:p w14:paraId="4EF5CD03">
            <w:pPr>
              <w:pStyle w:val="43"/>
              <w:bidi w:val="0"/>
              <w:spacing w:line="240" w:lineRule="auto"/>
              <w:rPr>
                <w:rFonts w:hint="eastAsia"/>
                <w:color w:val="auto"/>
                <w:lang w:val="en-GB"/>
              </w:rPr>
            </w:pPr>
            <w:r>
              <w:rPr>
                <w:rFonts w:hint="eastAsia"/>
                <w:color w:val="auto"/>
                <w:lang w:val="en-GB"/>
              </w:rPr>
              <w:t>9</w:t>
            </w:r>
          </w:p>
        </w:tc>
        <w:tc>
          <w:tcPr>
            <w:tcW w:w="1215" w:type="dxa"/>
            <w:vMerge w:val="restart"/>
            <w:noWrap w:val="0"/>
            <w:vAlign w:val="center"/>
          </w:tcPr>
          <w:p w14:paraId="01D5C3C4">
            <w:pPr>
              <w:pStyle w:val="43"/>
              <w:bidi w:val="0"/>
              <w:spacing w:line="240" w:lineRule="auto"/>
              <w:rPr>
                <w:rFonts w:hint="eastAsia"/>
                <w:color w:val="auto"/>
                <w:lang w:val="en-GB"/>
              </w:rPr>
            </w:pPr>
            <w:r>
              <w:rPr>
                <w:rFonts w:hint="eastAsia"/>
                <w:color w:val="auto"/>
                <w:lang w:val="en-GB"/>
              </w:rPr>
              <w:t>应急管理</w:t>
            </w:r>
          </w:p>
        </w:tc>
        <w:tc>
          <w:tcPr>
            <w:tcW w:w="4729" w:type="dxa"/>
            <w:noWrap w:val="0"/>
            <w:vAlign w:val="center"/>
          </w:tcPr>
          <w:p w14:paraId="5485A3D9">
            <w:pPr>
              <w:pStyle w:val="43"/>
              <w:bidi w:val="0"/>
              <w:spacing w:line="240" w:lineRule="auto"/>
              <w:jc w:val="both"/>
              <w:rPr>
                <w:rFonts w:hint="eastAsia"/>
                <w:color w:val="auto"/>
                <w:lang w:val="en-GB"/>
              </w:rPr>
            </w:pPr>
            <w:r>
              <w:rPr>
                <w:rFonts w:hint="eastAsia"/>
                <w:color w:val="auto"/>
                <w:lang w:val="en-GB"/>
              </w:rPr>
              <w:t>（1)是否制定加油站事故应急救援预案，应急预案是否按要求进行备案。</w:t>
            </w:r>
          </w:p>
        </w:tc>
        <w:tc>
          <w:tcPr>
            <w:tcW w:w="2239" w:type="dxa"/>
            <w:noWrap w:val="0"/>
            <w:vAlign w:val="center"/>
          </w:tcPr>
          <w:p w14:paraId="749DC8CA">
            <w:pPr>
              <w:pStyle w:val="43"/>
              <w:bidi w:val="0"/>
              <w:spacing w:line="240" w:lineRule="auto"/>
              <w:rPr>
                <w:rFonts w:hint="eastAsia"/>
                <w:color w:val="auto"/>
                <w:lang w:val="en-GB"/>
              </w:rPr>
            </w:pPr>
            <w:r>
              <w:rPr>
                <w:rFonts w:hint="eastAsia"/>
                <w:color w:val="auto"/>
                <w:lang w:val="en-GB"/>
              </w:rPr>
              <w:t>有应急预案，预案已备案</w:t>
            </w:r>
          </w:p>
        </w:tc>
        <w:tc>
          <w:tcPr>
            <w:tcW w:w="746" w:type="dxa"/>
            <w:noWrap w:val="0"/>
            <w:vAlign w:val="center"/>
          </w:tcPr>
          <w:p w14:paraId="26FD9EF1">
            <w:pPr>
              <w:pStyle w:val="43"/>
              <w:bidi w:val="0"/>
              <w:spacing w:line="240" w:lineRule="auto"/>
              <w:rPr>
                <w:rFonts w:hint="eastAsia"/>
                <w:color w:val="auto"/>
                <w:lang w:val="en-GB"/>
              </w:rPr>
            </w:pPr>
            <w:r>
              <w:rPr>
                <w:rFonts w:hint="eastAsia"/>
                <w:color w:val="auto"/>
                <w:lang w:val="en-GB" w:eastAsia="zh-CN"/>
              </w:rPr>
              <w:t>符合</w:t>
            </w:r>
          </w:p>
        </w:tc>
      </w:tr>
      <w:tr w14:paraId="19119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565" w:type="dxa"/>
            <w:vMerge w:val="continue"/>
            <w:noWrap w:val="0"/>
            <w:vAlign w:val="center"/>
          </w:tcPr>
          <w:p w14:paraId="36C0B45F">
            <w:pPr>
              <w:pStyle w:val="43"/>
              <w:bidi w:val="0"/>
              <w:spacing w:line="240" w:lineRule="auto"/>
              <w:rPr>
                <w:rFonts w:hint="eastAsia"/>
                <w:color w:val="auto"/>
                <w:lang w:val="en-GB"/>
              </w:rPr>
            </w:pPr>
          </w:p>
        </w:tc>
        <w:tc>
          <w:tcPr>
            <w:tcW w:w="1215" w:type="dxa"/>
            <w:vMerge w:val="continue"/>
            <w:noWrap w:val="0"/>
            <w:vAlign w:val="center"/>
          </w:tcPr>
          <w:p w14:paraId="2E23A152">
            <w:pPr>
              <w:pStyle w:val="43"/>
              <w:bidi w:val="0"/>
              <w:spacing w:line="240" w:lineRule="auto"/>
              <w:rPr>
                <w:rFonts w:hint="eastAsia"/>
                <w:color w:val="auto"/>
                <w:lang w:val="en-GB"/>
              </w:rPr>
            </w:pPr>
          </w:p>
        </w:tc>
        <w:tc>
          <w:tcPr>
            <w:tcW w:w="4729" w:type="dxa"/>
            <w:noWrap w:val="0"/>
            <w:vAlign w:val="center"/>
          </w:tcPr>
          <w:p w14:paraId="09E336E9">
            <w:pPr>
              <w:pStyle w:val="43"/>
              <w:bidi w:val="0"/>
              <w:spacing w:line="240" w:lineRule="auto"/>
              <w:jc w:val="both"/>
              <w:rPr>
                <w:rFonts w:hint="eastAsia"/>
                <w:color w:val="auto"/>
                <w:lang w:val="en-GB"/>
              </w:rPr>
            </w:pPr>
            <w:r>
              <w:rPr>
                <w:rFonts w:hint="eastAsia"/>
                <w:color w:val="auto"/>
                <w:lang w:val="en-GB"/>
              </w:rPr>
              <w:t>（2）是否组织应急演练，并保存演练记录材料。</w:t>
            </w:r>
          </w:p>
        </w:tc>
        <w:tc>
          <w:tcPr>
            <w:tcW w:w="2239" w:type="dxa"/>
            <w:noWrap w:val="0"/>
            <w:vAlign w:val="center"/>
          </w:tcPr>
          <w:p w14:paraId="55DB2D60">
            <w:pPr>
              <w:pStyle w:val="43"/>
              <w:bidi w:val="0"/>
              <w:spacing w:line="240" w:lineRule="auto"/>
              <w:rPr>
                <w:rFonts w:hint="eastAsia"/>
                <w:color w:val="auto"/>
                <w:lang w:val="en-GB"/>
              </w:rPr>
            </w:pPr>
            <w:r>
              <w:rPr>
                <w:rFonts w:hint="eastAsia"/>
                <w:color w:val="auto"/>
                <w:lang w:val="en-GB"/>
              </w:rPr>
              <w:t>有应急演练记录</w:t>
            </w:r>
          </w:p>
        </w:tc>
        <w:tc>
          <w:tcPr>
            <w:tcW w:w="746" w:type="dxa"/>
            <w:noWrap w:val="0"/>
            <w:vAlign w:val="center"/>
          </w:tcPr>
          <w:p w14:paraId="44DD40FF">
            <w:pPr>
              <w:pStyle w:val="43"/>
              <w:bidi w:val="0"/>
              <w:spacing w:line="240" w:lineRule="auto"/>
              <w:rPr>
                <w:rFonts w:hint="eastAsia"/>
                <w:color w:val="auto"/>
                <w:lang w:val="en-GB"/>
              </w:rPr>
            </w:pPr>
            <w:r>
              <w:rPr>
                <w:rFonts w:hint="eastAsia"/>
                <w:color w:val="auto"/>
                <w:lang w:val="en-GB" w:eastAsia="zh-CN"/>
              </w:rPr>
              <w:t>符合</w:t>
            </w:r>
          </w:p>
        </w:tc>
      </w:tr>
      <w:tr w14:paraId="17B56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565" w:type="dxa"/>
            <w:vMerge w:val="restart"/>
            <w:noWrap w:val="0"/>
            <w:vAlign w:val="center"/>
          </w:tcPr>
          <w:p w14:paraId="61C61859">
            <w:pPr>
              <w:pStyle w:val="43"/>
              <w:bidi w:val="0"/>
              <w:spacing w:line="240" w:lineRule="auto"/>
              <w:rPr>
                <w:rFonts w:hint="eastAsia"/>
                <w:color w:val="auto"/>
                <w:lang w:val="en-GB"/>
              </w:rPr>
            </w:pPr>
            <w:r>
              <w:rPr>
                <w:rFonts w:hint="eastAsia"/>
                <w:color w:val="auto"/>
                <w:lang w:val="en-GB"/>
              </w:rPr>
              <w:t>10</w:t>
            </w:r>
          </w:p>
        </w:tc>
        <w:tc>
          <w:tcPr>
            <w:tcW w:w="1215" w:type="dxa"/>
            <w:vMerge w:val="restart"/>
            <w:noWrap w:val="0"/>
            <w:vAlign w:val="center"/>
          </w:tcPr>
          <w:p w14:paraId="4B8C5065">
            <w:pPr>
              <w:pStyle w:val="43"/>
              <w:bidi w:val="0"/>
              <w:spacing w:line="240" w:lineRule="auto"/>
              <w:rPr>
                <w:rFonts w:hint="eastAsia"/>
                <w:color w:val="auto"/>
                <w:lang w:val="en-GB"/>
              </w:rPr>
            </w:pPr>
            <w:r>
              <w:rPr>
                <w:rFonts w:hint="eastAsia"/>
                <w:color w:val="auto"/>
                <w:lang w:val="en-GB"/>
              </w:rPr>
              <w:t>检维修作业、危险作业</w:t>
            </w:r>
          </w:p>
        </w:tc>
        <w:tc>
          <w:tcPr>
            <w:tcW w:w="4729" w:type="dxa"/>
            <w:noWrap w:val="0"/>
            <w:vAlign w:val="center"/>
          </w:tcPr>
          <w:p w14:paraId="637DCCE5">
            <w:pPr>
              <w:pStyle w:val="43"/>
              <w:bidi w:val="0"/>
              <w:spacing w:line="240" w:lineRule="auto"/>
              <w:jc w:val="both"/>
              <w:rPr>
                <w:rFonts w:hint="eastAsia"/>
                <w:color w:val="auto"/>
                <w:lang w:val="en-GB"/>
              </w:rPr>
            </w:pPr>
            <w:r>
              <w:rPr>
                <w:rFonts w:hint="eastAsia"/>
                <w:color w:val="auto"/>
                <w:lang w:val="en-GB"/>
              </w:rPr>
              <w:t>（1）是否制定检维修管理制度。</w:t>
            </w:r>
          </w:p>
        </w:tc>
        <w:tc>
          <w:tcPr>
            <w:tcW w:w="2239" w:type="dxa"/>
            <w:noWrap w:val="0"/>
            <w:vAlign w:val="center"/>
          </w:tcPr>
          <w:p w14:paraId="2F5E7A28">
            <w:pPr>
              <w:pStyle w:val="43"/>
              <w:bidi w:val="0"/>
              <w:spacing w:line="240" w:lineRule="auto"/>
              <w:rPr>
                <w:rFonts w:hint="eastAsia"/>
                <w:color w:val="auto"/>
                <w:lang w:val="en-GB"/>
              </w:rPr>
            </w:pPr>
            <w:r>
              <w:rPr>
                <w:rFonts w:hint="eastAsia"/>
                <w:color w:val="auto"/>
                <w:lang w:val="en-GB"/>
              </w:rPr>
              <w:t>有检维修制度</w:t>
            </w:r>
          </w:p>
        </w:tc>
        <w:tc>
          <w:tcPr>
            <w:tcW w:w="746" w:type="dxa"/>
            <w:noWrap w:val="0"/>
            <w:vAlign w:val="center"/>
          </w:tcPr>
          <w:p w14:paraId="5E6359A9">
            <w:pPr>
              <w:pStyle w:val="43"/>
              <w:bidi w:val="0"/>
              <w:spacing w:line="240" w:lineRule="auto"/>
              <w:rPr>
                <w:rFonts w:hint="eastAsia"/>
                <w:color w:val="auto"/>
                <w:lang w:val="en-GB"/>
              </w:rPr>
            </w:pPr>
            <w:r>
              <w:rPr>
                <w:rFonts w:hint="eastAsia"/>
                <w:color w:val="auto"/>
                <w:lang w:val="en-GB" w:eastAsia="zh-CN"/>
              </w:rPr>
              <w:t>符合</w:t>
            </w:r>
          </w:p>
        </w:tc>
      </w:tr>
      <w:tr w14:paraId="74163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65" w:type="dxa"/>
            <w:vMerge w:val="continue"/>
            <w:noWrap w:val="0"/>
            <w:vAlign w:val="center"/>
          </w:tcPr>
          <w:p w14:paraId="16A9904B">
            <w:pPr>
              <w:pStyle w:val="43"/>
              <w:bidi w:val="0"/>
              <w:spacing w:line="240" w:lineRule="auto"/>
              <w:rPr>
                <w:rFonts w:hint="eastAsia"/>
                <w:color w:val="auto"/>
                <w:lang w:val="en-GB"/>
              </w:rPr>
            </w:pPr>
          </w:p>
        </w:tc>
        <w:tc>
          <w:tcPr>
            <w:tcW w:w="1215" w:type="dxa"/>
            <w:vMerge w:val="continue"/>
            <w:noWrap w:val="0"/>
            <w:vAlign w:val="center"/>
          </w:tcPr>
          <w:p w14:paraId="2F842572">
            <w:pPr>
              <w:pStyle w:val="43"/>
              <w:bidi w:val="0"/>
              <w:spacing w:line="240" w:lineRule="auto"/>
              <w:rPr>
                <w:rFonts w:hint="eastAsia"/>
                <w:color w:val="auto"/>
                <w:lang w:val="en-GB"/>
              </w:rPr>
            </w:pPr>
          </w:p>
        </w:tc>
        <w:tc>
          <w:tcPr>
            <w:tcW w:w="4729" w:type="dxa"/>
            <w:noWrap w:val="0"/>
            <w:vAlign w:val="center"/>
          </w:tcPr>
          <w:p w14:paraId="36C01231">
            <w:pPr>
              <w:pStyle w:val="43"/>
              <w:bidi w:val="0"/>
              <w:spacing w:line="240" w:lineRule="auto"/>
              <w:jc w:val="both"/>
              <w:rPr>
                <w:rFonts w:hint="eastAsia"/>
                <w:color w:val="auto"/>
                <w:lang w:val="en-GB"/>
              </w:rPr>
            </w:pPr>
            <w:r>
              <w:rPr>
                <w:rFonts w:hint="eastAsia"/>
                <w:color w:val="auto"/>
                <w:lang w:val="en-GB"/>
              </w:rPr>
              <w:t>（2)是否制定动火作业、受限空间作业等危险作业管理制度。</w:t>
            </w:r>
          </w:p>
        </w:tc>
        <w:tc>
          <w:tcPr>
            <w:tcW w:w="2239" w:type="dxa"/>
            <w:noWrap w:val="0"/>
            <w:vAlign w:val="center"/>
          </w:tcPr>
          <w:p w14:paraId="6ECDD63B">
            <w:pPr>
              <w:pStyle w:val="43"/>
              <w:bidi w:val="0"/>
              <w:spacing w:line="240" w:lineRule="auto"/>
              <w:rPr>
                <w:rFonts w:hint="eastAsia"/>
                <w:color w:val="auto"/>
                <w:lang w:val="en-GB"/>
              </w:rPr>
            </w:pPr>
            <w:r>
              <w:rPr>
                <w:rFonts w:hint="eastAsia"/>
                <w:color w:val="auto"/>
                <w:lang w:val="en-GB"/>
              </w:rPr>
              <w:t>有</w:t>
            </w:r>
            <w:r>
              <w:rPr>
                <w:rFonts w:hint="eastAsia"/>
                <w:color w:val="auto"/>
                <w:lang w:val="en-GB" w:eastAsia="zh-CN"/>
              </w:rPr>
              <w:t>动火</w:t>
            </w:r>
            <w:r>
              <w:rPr>
                <w:rFonts w:hint="eastAsia"/>
                <w:color w:val="auto"/>
                <w:lang w:val="en-GB"/>
              </w:rPr>
              <w:t>、受限空间作业管理制度</w:t>
            </w:r>
          </w:p>
        </w:tc>
        <w:tc>
          <w:tcPr>
            <w:tcW w:w="746" w:type="dxa"/>
            <w:noWrap w:val="0"/>
            <w:vAlign w:val="center"/>
          </w:tcPr>
          <w:p w14:paraId="2064B8B0">
            <w:pPr>
              <w:pStyle w:val="43"/>
              <w:bidi w:val="0"/>
              <w:spacing w:line="240" w:lineRule="auto"/>
              <w:rPr>
                <w:rFonts w:hint="eastAsia"/>
                <w:color w:val="auto"/>
                <w:lang w:val="en-GB"/>
              </w:rPr>
            </w:pPr>
            <w:r>
              <w:rPr>
                <w:rFonts w:hint="eastAsia"/>
                <w:color w:val="auto"/>
                <w:lang w:val="en-GB" w:eastAsia="zh-CN"/>
              </w:rPr>
              <w:t>符合</w:t>
            </w:r>
          </w:p>
        </w:tc>
      </w:tr>
      <w:tr w14:paraId="42E4C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565" w:type="dxa"/>
            <w:vMerge w:val="continue"/>
            <w:noWrap w:val="0"/>
            <w:vAlign w:val="center"/>
          </w:tcPr>
          <w:p w14:paraId="783BA7DE">
            <w:pPr>
              <w:pStyle w:val="43"/>
              <w:bidi w:val="0"/>
              <w:spacing w:line="240" w:lineRule="auto"/>
              <w:rPr>
                <w:rFonts w:hint="eastAsia"/>
                <w:color w:val="auto"/>
                <w:lang w:val="en-GB"/>
              </w:rPr>
            </w:pPr>
          </w:p>
        </w:tc>
        <w:tc>
          <w:tcPr>
            <w:tcW w:w="1215" w:type="dxa"/>
            <w:vMerge w:val="continue"/>
            <w:noWrap w:val="0"/>
            <w:vAlign w:val="center"/>
          </w:tcPr>
          <w:p w14:paraId="5102D2A9">
            <w:pPr>
              <w:pStyle w:val="43"/>
              <w:bidi w:val="0"/>
              <w:spacing w:line="240" w:lineRule="auto"/>
              <w:rPr>
                <w:rFonts w:hint="eastAsia"/>
                <w:color w:val="auto"/>
                <w:lang w:val="en-GB"/>
              </w:rPr>
            </w:pPr>
          </w:p>
        </w:tc>
        <w:tc>
          <w:tcPr>
            <w:tcW w:w="4729" w:type="dxa"/>
            <w:noWrap w:val="0"/>
            <w:vAlign w:val="center"/>
          </w:tcPr>
          <w:p w14:paraId="7C4D46D7">
            <w:pPr>
              <w:pStyle w:val="43"/>
              <w:bidi w:val="0"/>
              <w:spacing w:line="240" w:lineRule="auto"/>
              <w:jc w:val="both"/>
              <w:rPr>
                <w:rFonts w:hint="eastAsia"/>
                <w:color w:val="auto"/>
                <w:lang w:val="en-GB"/>
              </w:rPr>
            </w:pPr>
            <w:r>
              <w:rPr>
                <w:rFonts w:hint="eastAsia"/>
                <w:color w:val="auto"/>
                <w:lang w:val="en-GB"/>
              </w:rPr>
              <w:t>（3）危险作业是否按要求履行审批手续，危险作业是否按要求执行作业票管理。</w:t>
            </w:r>
          </w:p>
        </w:tc>
        <w:tc>
          <w:tcPr>
            <w:tcW w:w="2239" w:type="dxa"/>
            <w:noWrap w:val="0"/>
            <w:vAlign w:val="center"/>
          </w:tcPr>
          <w:p w14:paraId="47882F0D">
            <w:pPr>
              <w:pStyle w:val="43"/>
              <w:bidi w:val="0"/>
              <w:spacing w:line="240" w:lineRule="auto"/>
              <w:rPr>
                <w:rFonts w:hint="eastAsia"/>
                <w:color w:val="auto"/>
                <w:lang w:val="en-GB"/>
              </w:rPr>
            </w:pPr>
            <w:r>
              <w:rPr>
                <w:rFonts w:hint="eastAsia"/>
                <w:color w:val="auto"/>
                <w:lang w:val="en-GB"/>
              </w:rPr>
              <w:t>危险作业严格执行审批手续</w:t>
            </w:r>
          </w:p>
        </w:tc>
        <w:tc>
          <w:tcPr>
            <w:tcW w:w="746" w:type="dxa"/>
            <w:noWrap w:val="0"/>
            <w:vAlign w:val="center"/>
          </w:tcPr>
          <w:p w14:paraId="40A7EFE4">
            <w:pPr>
              <w:pStyle w:val="43"/>
              <w:bidi w:val="0"/>
              <w:spacing w:line="240" w:lineRule="auto"/>
              <w:rPr>
                <w:rFonts w:hint="eastAsia"/>
                <w:color w:val="auto"/>
                <w:lang w:val="en-GB"/>
              </w:rPr>
            </w:pPr>
            <w:r>
              <w:rPr>
                <w:rFonts w:hint="eastAsia"/>
                <w:color w:val="auto"/>
                <w:lang w:val="en-GB" w:eastAsia="zh-CN"/>
              </w:rPr>
              <w:t>符合</w:t>
            </w:r>
          </w:p>
        </w:tc>
      </w:tr>
      <w:tr w14:paraId="4B4B5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565" w:type="dxa"/>
            <w:vMerge w:val="continue"/>
            <w:noWrap w:val="0"/>
            <w:vAlign w:val="center"/>
          </w:tcPr>
          <w:p w14:paraId="175283C8">
            <w:pPr>
              <w:pStyle w:val="43"/>
              <w:bidi w:val="0"/>
              <w:spacing w:line="240" w:lineRule="auto"/>
              <w:rPr>
                <w:rFonts w:hint="eastAsia"/>
                <w:color w:val="auto"/>
                <w:lang w:val="en-GB"/>
              </w:rPr>
            </w:pPr>
          </w:p>
        </w:tc>
        <w:tc>
          <w:tcPr>
            <w:tcW w:w="1215" w:type="dxa"/>
            <w:vMerge w:val="continue"/>
            <w:noWrap w:val="0"/>
            <w:vAlign w:val="center"/>
          </w:tcPr>
          <w:p w14:paraId="1DADAE00">
            <w:pPr>
              <w:pStyle w:val="43"/>
              <w:bidi w:val="0"/>
              <w:spacing w:line="240" w:lineRule="auto"/>
              <w:rPr>
                <w:rFonts w:hint="eastAsia"/>
                <w:color w:val="auto"/>
                <w:lang w:val="en-GB"/>
              </w:rPr>
            </w:pPr>
          </w:p>
        </w:tc>
        <w:tc>
          <w:tcPr>
            <w:tcW w:w="4729" w:type="dxa"/>
            <w:noWrap w:val="0"/>
            <w:vAlign w:val="center"/>
          </w:tcPr>
          <w:p w14:paraId="3B221B4F">
            <w:pPr>
              <w:pStyle w:val="43"/>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eastAsia"/>
                <w:color w:val="auto"/>
                <w:lang w:val="en-GB"/>
              </w:rPr>
            </w:pPr>
            <w:r>
              <w:rPr>
                <w:rFonts w:hint="eastAsia"/>
                <w:color w:val="auto"/>
                <w:lang w:val="en-GB"/>
              </w:rPr>
              <w:t>（4）危险作业现场管理是否按要求执行。</w:t>
            </w:r>
          </w:p>
        </w:tc>
        <w:tc>
          <w:tcPr>
            <w:tcW w:w="2239" w:type="dxa"/>
            <w:noWrap w:val="0"/>
            <w:vAlign w:val="center"/>
          </w:tcPr>
          <w:p w14:paraId="7A1914EE">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color w:val="auto"/>
                <w:lang w:val="en-GB"/>
              </w:rPr>
            </w:pPr>
            <w:r>
              <w:rPr>
                <w:rFonts w:hint="eastAsia"/>
                <w:color w:val="auto"/>
                <w:lang w:val="en-GB"/>
              </w:rPr>
              <w:t>按要求执行</w:t>
            </w:r>
          </w:p>
        </w:tc>
        <w:tc>
          <w:tcPr>
            <w:tcW w:w="746" w:type="dxa"/>
            <w:noWrap w:val="0"/>
            <w:vAlign w:val="center"/>
          </w:tcPr>
          <w:p w14:paraId="2A05F219">
            <w:pPr>
              <w:pStyle w:val="43"/>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color w:val="auto"/>
                <w:lang w:val="en-GB"/>
              </w:rPr>
            </w:pPr>
            <w:r>
              <w:rPr>
                <w:rFonts w:hint="eastAsia"/>
                <w:color w:val="auto"/>
                <w:lang w:val="en-GB" w:eastAsia="zh-CN"/>
              </w:rPr>
              <w:t>符合</w:t>
            </w:r>
          </w:p>
        </w:tc>
      </w:tr>
    </w:tbl>
    <w:p w14:paraId="2F9FC18C">
      <w:pPr>
        <w:pStyle w:val="3"/>
        <w:bidi w:val="0"/>
        <w:rPr>
          <w:rFonts w:hint="default"/>
          <w:lang w:val="en-US" w:eastAsia="zh-CN"/>
        </w:rPr>
      </w:pPr>
      <w:bookmarkStart w:id="112" w:name="_Toc9981"/>
      <w:r>
        <w:rPr>
          <w:rFonts w:hint="default"/>
          <w:lang w:val="en-US" w:eastAsia="zh-CN"/>
        </w:rPr>
        <w:t>F3.6 重大生产安全事故隐患检查</w:t>
      </w:r>
      <w:bookmarkEnd w:id="112"/>
    </w:p>
    <w:p w14:paraId="55891E8C">
      <w:pPr>
        <w:rPr>
          <w:rFonts w:hint="default"/>
          <w:lang w:val="en-US" w:eastAsia="zh-CN"/>
        </w:rPr>
      </w:pPr>
      <w:r>
        <w:rPr>
          <w:rFonts w:hint="default"/>
          <w:lang w:val="en-US" w:eastAsia="zh-CN"/>
        </w:rPr>
        <w:t>为准确判定、及时整改该加油站的重大生产安全事故隐患，有效防范遏制重特大生产安全事故，根据国家安全监管总局关于印发《化工和危险化学品生产经营单位重大生产安全事故隐患判定标准（试行）》的通知（安监总管三</w:t>
      </w:r>
      <w:r>
        <w:rPr>
          <w:rFonts w:hint="eastAsia" w:ascii="宋体" w:hAnsi="宋体" w:eastAsia="宋体" w:cs="宋体"/>
          <w:lang w:val="en-US" w:eastAsia="zh-CN"/>
        </w:rPr>
        <w:t>[</w:t>
      </w:r>
      <w:r>
        <w:rPr>
          <w:rFonts w:hint="default"/>
          <w:lang w:val="en-US" w:eastAsia="zh-CN"/>
        </w:rPr>
        <w:t>2017</w:t>
      </w:r>
      <w:r>
        <w:rPr>
          <w:rFonts w:hint="eastAsia" w:ascii="宋体" w:hAnsi="宋体" w:eastAsia="宋体" w:cs="宋体"/>
          <w:lang w:val="en-US" w:eastAsia="zh-CN"/>
        </w:rPr>
        <w:t>]</w:t>
      </w:r>
      <w:r>
        <w:rPr>
          <w:rFonts w:hint="default"/>
          <w:lang w:val="en-US" w:eastAsia="zh-CN"/>
        </w:rPr>
        <w:t>121号）的要求，对该加油站进行重大生产安全事故隐患检查如下：</w:t>
      </w:r>
    </w:p>
    <w:p w14:paraId="6BAD2336">
      <w:pPr>
        <w:ind w:left="0" w:leftChars="0" w:firstLine="0" w:firstLineChars="0"/>
        <w:jc w:val="center"/>
        <w:rPr>
          <w:rFonts w:hint="default"/>
          <w:lang w:val="en-US" w:eastAsia="zh-CN"/>
        </w:rPr>
      </w:pPr>
      <w:r>
        <w:rPr>
          <w:rFonts w:hint="default"/>
          <w:lang w:val="en-US" w:eastAsia="zh-CN"/>
        </w:rPr>
        <w:t>F3.6-1 重大生产安全事故隐患检查表</w:t>
      </w:r>
    </w:p>
    <w:tbl>
      <w:tblPr>
        <w:tblStyle w:val="21"/>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6"/>
        <w:gridCol w:w="4883"/>
        <w:gridCol w:w="2920"/>
        <w:gridCol w:w="802"/>
      </w:tblGrid>
      <w:tr w14:paraId="090E4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4" w:type="pct"/>
            <w:noWrap w:val="0"/>
            <w:vAlign w:val="center"/>
          </w:tcPr>
          <w:p w14:paraId="69933D09">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b/>
                <w:bCs/>
                <w:color w:val="auto"/>
                <w:lang w:val="en-US" w:eastAsia="zh-CN"/>
              </w:rPr>
            </w:pPr>
            <w:r>
              <w:rPr>
                <w:rFonts w:hint="eastAsia"/>
                <w:b/>
                <w:bCs/>
                <w:color w:val="auto"/>
                <w:lang w:val="en-US" w:eastAsia="zh-CN"/>
              </w:rPr>
              <w:t>序号</w:t>
            </w:r>
          </w:p>
        </w:tc>
        <w:tc>
          <w:tcPr>
            <w:tcW w:w="2630" w:type="pct"/>
            <w:noWrap w:val="0"/>
            <w:vAlign w:val="center"/>
          </w:tcPr>
          <w:p w14:paraId="527BD0E9">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b/>
                <w:bCs/>
                <w:color w:val="auto"/>
                <w:lang w:val="en-US" w:eastAsia="zh-CN"/>
              </w:rPr>
            </w:pPr>
            <w:r>
              <w:rPr>
                <w:rFonts w:hint="eastAsia"/>
                <w:b/>
                <w:bCs/>
                <w:color w:val="auto"/>
                <w:lang w:val="en-US" w:eastAsia="zh-CN"/>
              </w:rPr>
              <w:t>检查内容</w:t>
            </w:r>
          </w:p>
        </w:tc>
        <w:tc>
          <w:tcPr>
            <w:tcW w:w="1573" w:type="pct"/>
            <w:noWrap w:val="0"/>
            <w:vAlign w:val="center"/>
          </w:tcPr>
          <w:p w14:paraId="759A5E71">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b/>
                <w:bCs/>
                <w:color w:val="auto"/>
                <w:lang w:val="en-US" w:eastAsia="zh-CN"/>
              </w:rPr>
            </w:pPr>
            <w:r>
              <w:rPr>
                <w:rFonts w:hint="eastAsia"/>
                <w:b/>
                <w:bCs/>
                <w:color w:val="auto"/>
                <w:lang w:val="en-US" w:eastAsia="zh-CN"/>
              </w:rPr>
              <w:t>检查记录</w:t>
            </w:r>
          </w:p>
        </w:tc>
        <w:tc>
          <w:tcPr>
            <w:tcW w:w="432" w:type="pct"/>
            <w:noWrap w:val="0"/>
            <w:vAlign w:val="center"/>
          </w:tcPr>
          <w:p w14:paraId="5759FA1D">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b/>
                <w:bCs/>
                <w:color w:val="auto"/>
                <w:lang w:val="en-US" w:eastAsia="zh-CN"/>
              </w:rPr>
            </w:pPr>
            <w:r>
              <w:rPr>
                <w:rFonts w:hint="eastAsia"/>
                <w:b/>
                <w:bCs/>
                <w:color w:val="auto"/>
                <w:lang w:val="en-US" w:eastAsia="zh-CN"/>
              </w:rPr>
              <w:t>检查结论</w:t>
            </w:r>
          </w:p>
        </w:tc>
      </w:tr>
      <w:tr w14:paraId="2D9D9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4" w:type="pct"/>
            <w:noWrap w:val="0"/>
            <w:vAlign w:val="center"/>
          </w:tcPr>
          <w:p w14:paraId="26689EF8">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color w:val="auto"/>
                <w:lang w:val="en-US" w:eastAsia="zh-CN"/>
              </w:rPr>
            </w:pPr>
            <w:r>
              <w:rPr>
                <w:rFonts w:hint="eastAsia"/>
                <w:color w:val="auto"/>
                <w:lang w:val="en-US" w:eastAsia="zh-CN"/>
              </w:rPr>
              <w:t>1</w:t>
            </w:r>
          </w:p>
        </w:tc>
        <w:tc>
          <w:tcPr>
            <w:tcW w:w="2630" w:type="pct"/>
            <w:noWrap w:val="0"/>
            <w:vAlign w:val="center"/>
          </w:tcPr>
          <w:p w14:paraId="1E688407">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left"/>
              <w:textAlignment w:val="auto"/>
              <w:rPr>
                <w:color w:val="auto"/>
              </w:rPr>
            </w:pPr>
            <w:r>
              <w:rPr>
                <w:color w:val="auto"/>
              </w:rPr>
              <w:t>危险化学品生产、经营单位主要负责人和安全生产管理人员未依法经考核合格。</w:t>
            </w:r>
          </w:p>
        </w:tc>
        <w:tc>
          <w:tcPr>
            <w:tcW w:w="1573" w:type="pct"/>
            <w:noWrap w:val="0"/>
            <w:vAlign w:val="center"/>
          </w:tcPr>
          <w:p w14:paraId="72AB2000">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color w:val="auto"/>
                <w:lang w:val="en-US" w:eastAsia="zh-CN"/>
              </w:rPr>
            </w:pPr>
            <w:r>
              <w:rPr>
                <w:rFonts w:hint="eastAsia"/>
                <w:color w:val="auto"/>
                <w:lang w:val="en-US" w:eastAsia="zh-CN"/>
              </w:rPr>
              <w:t>主要负责人、安全生产管理员已取证</w:t>
            </w:r>
          </w:p>
        </w:tc>
        <w:tc>
          <w:tcPr>
            <w:tcW w:w="432" w:type="pct"/>
            <w:noWrap w:val="0"/>
            <w:vAlign w:val="center"/>
          </w:tcPr>
          <w:p w14:paraId="3FA8BDD7">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color w:val="auto"/>
                <w:lang w:val="en-US" w:eastAsia="zh-CN"/>
              </w:rPr>
            </w:pPr>
            <w:r>
              <w:rPr>
                <w:rFonts w:hint="eastAsia"/>
                <w:color w:val="auto"/>
                <w:lang w:val="en-US" w:eastAsia="zh-CN"/>
              </w:rPr>
              <w:t>合格</w:t>
            </w:r>
          </w:p>
        </w:tc>
      </w:tr>
      <w:tr w14:paraId="53E8E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4" w:type="pct"/>
            <w:noWrap w:val="0"/>
            <w:vAlign w:val="center"/>
          </w:tcPr>
          <w:p w14:paraId="6A0D7BC9">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color w:val="auto"/>
                <w:lang w:val="en-US" w:eastAsia="zh-CN"/>
              </w:rPr>
            </w:pPr>
            <w:r>
              <w:rPr>
                <w:rFonts w:hint="eastAsia"/>
                <w:color w:val="auto"/>
                <w:lang w:val="en-US" w:eastAsia="zh-CN"/>
              </w:rPr>
              <w:t>2</w:t>
            </w:r>
          </w:p>
        </w:tc>
        <w:tc>
          <w:tcPr>
            <w:tcW w:w="2630" w:type="pct"/>
            <w:noWrap w:val="0"/>
            <w:vAlign w:val="center"/>
          </w:tcPr>
          <w:p w14:paraId="037D67E4">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left"/>
              <w:textAlignment w:val="auto"/>
              <w:rPr>
                <w:color w:val="auto"/>
              </w:rPr>
            </w:pPr>
            <w:r>
              <w:rPr>
                <w:color w:val="auto"/>
              </w:rPr>
              <w:t>特种作业人员未持证上岗。</w:t>
            </w:r>
          </w:p>
        </w:tc>
        <w:tc>
          <w:tcPr>
            <w:tcW w:w="1573" w:type="pct"/>
            <w:noWrap w:val="0"/>
            <w:vAlign w:val="center"/>
          </w:tcPr>
          <w:p w14:paraId="5F067385">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eastAsia="宋体"/>
                <w:color w:val="auto"/>
                <w:lang w:val="en-US" w:eastAsia="zh-CN"/>
              </w:rPr>
            </w:pPr>
            <w:r>
              <w:rPr>
                <w:rFonts w:hint="eastAsia"/>
                <w:color w:val="auto"/>
                <w:lang w:eastAsia="zh-CN"/>
              </w:rPr>
              <w:t>特种作业人员委托外部机构</w:t>
            </w:r>
          </w:p>
        </w:tc>
        <w:tc>
          <w:tcPr>
            <w:tcW w:w="432" w:type="pct"/>
            <w:noWrap w:val="0"/>
            <w:vAlign w:val="center"/>
          </w:tcPr>
          <w:p w14:paraId="0A76E91A">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color w:val="auto"/>
                <w:lang w:val="en-US" w:eastAsia="zh-CN"/>
              </w:rPr>
            </w:pPr>
            <w:r>
              <w:rPr>
                <w:rFonts w:hint="eastAsia"/>
                <w:color w:val="auto"/>
                <w:lang w:val="en-US" w:eastAsia="zh-CN"/>
              </w:rPr>
              <w:t>-</w:t>
            </w:r>
          </w:p>
        </w:tc>
      </w:tr>
      <w:tr w14:paraId="161E8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4" w:type="pct"/>
            <w:noWrap w:val="0"/>
            <w:vAlign w:val="center"/>
          </w:tcPr>
          <w:p w14:paraId="53FEB0DF">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color w:val="auto"/>
                <w:lang w:val="en-US" w:eastAsia="zh-CN"/>
              </w:rPr>
            </w:pPr>
            <w:r>
              <w:rPr>
                <w:rFonts w:hint="eastAsia"/>
                <w:color w:val="auto"/>
                <w:lang w:val="en-US" w:eastAsia="zh-CN"/>
              </w:rPr>
              <w:t>3</w:t>
            </w:r>
          </w:p>
        </w:tc>
        <w:tc>
          <w:tcPr>
            <w:tcW w:w="2630" w:type="pct"/>
            <w:noWrap w:val="0"/>
            <w:vAlign w:val="center"/>
          </w:tcPr>
          <w:p w14:paraId="208682F6">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left"/>
              <w:textAlignment w:val="auto"/>
              <w:rPr>
                <w:color w:val="auto"/>
              </w:rPr>
            </w:pPr>
            <w:r>
              <w:rPr>
                <w:rFonts w:hint="eastAsia" w:ascii="宋体" w:hAnsi="宋体" w:eastAsia="宋体" w:cs="宋体"/>
                <w:color w:val="auto"/>
              </w:rPr>
              <w:t>涉及“两重点一重大”的</w:t>
            </w:r>
            <w:r>
              <w:rPr>
                <w:color w:val="auto"/>
              </w:rPr>
              <w:t>生产装置、储存设施外部安全防护距离不符合国家标准要求。</w:t>
            </w:r>
          </w:p>
        </w:tc>
        <w:tc>
          <w:tcPr>
            <w:tcW w:w="1573" w:type="pct"/>
            <w:noWrap w:val="0"/>
            <w:vAlign w:val="center"/>
          </w:tcPr>
          <w:p w14:paraId="19203CAA">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eastAsia="宋体"/>
                <w:color w:val="auto"/>
                <w:lang w:eastAsia="zh-CN"/>
              </w:rPr>
            </w:pPr>
            <w:r>
              <w:rPr>
                <w:rFonts w:hint="eastAsia"/>
                <w:color w:val="auto"/>
                <w:lang w:val="en-US" w:eastAsia="zh-CN"/>
              </w:rPr>
              <w:t>不涉及“两重点一重大”</w:t>
            </w:r>
          </w:p>
        </w:tc>
        <w:tc>
          <w:tcPr>
            <w:tcW w:w="432" w:type="pct"/>
            <w:noWrap w:val="0"/>
            <w:vAlign w:val="center"/>
          </w:tcPr>
          <w:p w14:paraId="615F58A1">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color w:val="auto"/>
                <w:lang w:val="en-US" w:eastAsia="zh-CN"/>
              </w:rPr>
            </w:pPr>
            <w:r>
              <w:rPr>
                <w:rFonts w:hint="eastAsia"/>
                <w:color w:val="auto"/>
                <w:lang w:val="en-US" w:eastAsia="zh-CN"/>
              </w:rPr>
              <w:t>-</w:t>
            </w:r>
          </w:p>
        </w:tc>
      </w:tr>
      <w:tr w14:paraId="2FE80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4" w:type="pct"/>
            <w:noWrap w:val="0"/>
            <w:vAlign w:val="center"/>
          </w:tcPr>
          <w:p w14:paraId="74585781">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color w:val="auto"/>
                <w:lang w:val="en-US" w:eastAsia="zh-CN"/>
              </w:rPr>
            </w:pPr>
            <w:r>
              <w:rPr>
                <w:rFonts w:hint="eastAsia"/>
                <w:color w:val="auto"/>
                <w:lang w:val="en-US" w:eastAsia="zh-CN"/>
              </w:rPr>
              <w:t>4</w:t>
            </w:r>
          </w:p>
        </w:tc>
        <w:tc>
          <w:tcPr>
            <w:tcW w:w="2630" w:type="pct"/>
            <w:noWrap w:val="0"/>
            <w:vAlign w:val="center"/>
          </w:tcPr>
          <w:p w14:paraId="139E7056">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left"/>
              <w:textAlignment w:val="auto"/>
              <w:rPr>
                <w:color w:val="auto"/>
              </w:rPr>
            </w:pPr>
            <w:r>
              <w:rPr>
                <w:color w:val="auto"/>
              </w:rPr>
              <w:t>涉及重点监管危险化工工艺的装置未实现自动化控制，系统未实现紧急停车功能，装备的自动化控制系统、紧急停车系统未投入使用。</w:t>
            </w:r>
          </w:p>
        </w:tc>
        <w:tc>
          <w:tcPr>
            <w:tcW w:w="1573" w:type="pct"/>
            <w:noWrap w:val="0"/>
            <w:vAlign w:val="center"/>
          </w:tcPr>
          <w:p w14:paraId="5F8BBC24">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color w:val="auto"/>
                <w:lang w:val="en-US" w:eastAsia="zh-CN"/>
              </w:rPr>
            </w:pPr>
            <w:r>
              <w:rPr>
                <w:rFonts w:hint="eastAsia"/>
                <w:color w:val="auto"/>
                <w:lang w:val="en-US" w:eastAsia="zh-CN"/>
              </w:rPr>
              <w:t>不涉及危险化工工艺</w:t>
            </w:r>
          </w:p>
        </w:tc>
        <w:tc>
          <w:tcPr>
            <w:tcW w:w="432" w:type="pct"/>
            <w:noWrap w:val="0"/>
            <w:vAlign w:val="center"/>
          </w:tcPr>
          <w:p w14:paraId="2A685E56">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color w:val="auto"/>
                <w:lang w:val="en-US" w:eastAsia="zh-CN"/>
              </w:rPr>
            </w:pPr>
            <w:r>
              <w:rPr>
                <w:rFonts w:hint="eastAsia"/>
                <w:color w:val="auto"/>
                <w:lang w:val="en-US" w:eastAsia="zh-CN"/>
              </w:rPr>
              <w:t>-</w:t>
            </w:r>
          </w:p>
        </w:tc>
      </w:tr>
      <w:tr w14:paraId="389B4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4" w:type="pct"/>
            <w:noWrap w:val="0"/>
            <w:vAlign w:val="center"/>
          </w:tcPr>
          <w:p w14:paraId="389A0DB9">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color w:val="auto"/>
                <w:lang w:val="en-US" w:eastAsia="zh-CN"/>
              </w:rPr>
            </w:pPr>
            <w:r>
              <w:rPr>
                <w:rFonts w:hint="eastAsia"/>
                <w:color w:val="auto"/>
                <w:lang w:val="en-US" w:eastAsia="zh-CN"/>
              </w:rPr>
              <w:t>5</w:t>
            </w:r>
          </w:p>
        </w:tc>
        <w:tc>
          <w:tcPr>
            <w:tcW w:w="2630" w:type="pct"/>
            <w:noWrap w:val="0"/>
            <w:vAlign w:val="center"/>
          </w:tcPr>
          <w:p w14:paraId="760C0E35">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left"/>
              <w:textAlignment w:val="auto"/>
              <w:rPr>
                <w:color w:val="auto"/>
              </w:rPr>
            </w:pPr>
            <w:r>
              <w:rPr>
                <w:color w:val="auto"/>
              </w:rPr>
              <w:t>构成一级、二级重大危险源的危险化学品罐区未实现紧急切断功能；涉及毒性气体、液化气体、剧毒液体的一级、二级重大危险源的危险化学品罐区未配备独立的安全仪表系统。</w:t>
            </w:r>
          </w:p>
        </w:tc>
        <w:tc>
          <w:tcPr>
            <w:tcW w:w="1573" w:type="pct"/>
            <w:noWrap w:val="0"/>
            <w:vAlign w:val="center"/>
          </w:tcPr>
          <w:p w14:paraId="73F88DD0">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color w:val="auto"/>
                <w:lang w:val="en-US" w:eastAsia="zh-CN"/>
              </w:rPr>
            </w:pPr>
            <w:r>
              <w:rPr>
                <w:rFonts w:hint="eastAsia"/>
                <w:color w:val="auto"/>
                <w:lang w:val="en-US" w:eastAsia="zh-CN"/>
              </w:rPr>
              <w:t>不涉及重大危险源</w:t>
            </w:r>
          </w:p>
        </w:tc>
        <w:tc>
          <w:tcPr>
            <w:tcW w:w="432" w:type="pct"/>
            <w:noWrap w:val="0"/>
            <w:vAlign w:val="center"/>
          </w:tcPr>
          <w:p w14:paraId="37D73FE5">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color w:val="auto"/>
                <w:lang w:val="en-US" w:eastAsia="zh-CN"/>
              </w:rPr>
            </w:pPr>
            <w:r>
              <w:rPr>
                <w:rFonts w:hint="eastAsia"/>
                <w:color w:val="auto"/>
                <w:lang w:val="en-US" w:eastAsia="zh-CN"/>
              </w:rPr>
              <w:t>-</w:t>
            </w:r>
          </w:p>
        </w:tc>
      </w:tr>
      <w:tr w14:paraId="651BF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4" w:type="pct"/>
            <w:noWrap w:val="0"/>
            <w:vAlign w:val="center"/>
          </w:tcPr>
          <w:p w14:paraId="7033B8E3">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color w:val="auto"/>
                <w:lang w:val="en-US" w:eastAsia="zh-CN"/>
              </w:rPr>
            </w:pPr>
            <w:r>
              <w:rPr>
                <w:rFonts w:hint="eastAsia"/>
                <w:color w:val="auto"/>
                <w:lang w:val="en-US" w:eastAsia="zh-CN"/>
              </w:rPr>
              <w:t>6</w:t>
            </w:r>
          </w:p>
        </w:tc>
        <w:tc>
          <w:tcPr>
            <w:tcW w:w="2630" w:type="pct"/>
            <w:noWrap w:val="0"/>
            <w:vAlign w:val="center"/>
          </w:tcPr>
          <w:p w14:paraId="434076B0">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left"/>
              <w:textAlignment w:val="auto"/>
              <w:rPr>
                <w:color w:val="auto"/>
              </w:rPr>
            </w:pPr>
            <w:r>
              <w:rPr>
                <w:color w:val="auto"/>
              </w:rPr>
              <w:t>全压力式液化烃储罐未按国家标准设置注水措施。</w:t>
            </w:r>
          </w:p>
        </w:tc>
        <w:tc>
          <w:tcPr>
            <w:tcW w:w="1573" w:type="pct"/>
            <w:noWrap w:val="0"/>
            <w:vAlign w:val="center"/>
          </w:tcPr>
          <w:p w14:paraId="0F776884">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color w:val="auto"/>
                <w:lang w:val="en-US" w:eastAsia="zh-CN"/>
              </w:rPr>
            </w:pPr>
            <w:r>
              <w:rPr>
                <w:rFonts w:hint="eastAsia"/>
                <w:color w:val="auto"/>
                <w:lang w:val="en-US" w:eastAsia="zh-CN"/>
              </w:rPr>
              <w:t>不涉及</w:t>
            </w:r>
            <w:r>
              <w:rPr>
                <w:color w:val="auto"/>
              </w:rPr>
              <w:t>全压力式液化烃储罐</w:t>
            </w:r>
          </w:p>
        </w:tc>
        <w:tc>
          <w:tcPr>
            <w:tcW w:w="432" w:type="pct"/>
            <w:noWrap w:val="0"/>
            <w:vAlign w:val="center"/>
          </w:tcPr>
          <w:p w14:paraId="680731CD">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color w:val="auto"/>
                <w:lang w:val="en-US" w:eastAsia="zh-CN"/>
              </w:rPr>
            </w:pPr>
            <w:r>
              <w:rPr>
                <w:rFonts w:hint="eastAsia"/>
                <w:color w:val="auto"/>
                <w:lang w:val="en-US" w:eastAsia="zh-CN"/>
              </w:rPr>
              <w:t>-</w:t>
            </w:r>
          </w:p>
        </w:tc>
      </w:tr>
      <w:tr w14:paraId="3B59D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4" w:type="pct"/>
            <w:noWrap w:val="0"/>
            <w:vAlign w:val="center"/>
          </w:tcPr>
          <w:p w14:paraId="25CF2339">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color w:val="auto"/>
                <w:lang w:val="en-US" w:eastAsia="zh-CN"/>
              </w:rPr>
            </w:pPr>
            <w:r>
              <w:rPr>
                <w:rFonts w:hint="eastAsia"/>
                <w:color w:val="auto"/>
                <w:lang w:val="en-US" w:eastAsia="zh-CN"/>
              </w:rPr>
              <w:t>7</w:t>
            </w:r>
          </w:p>
        </w:tc>
        <w:tc>
          <w:tcPr>
            <w:tcW w:w="2630" w:type="pct"/>
            <w:noWrap w:val="0"/>
            <w:vAlign w:val="center"/>
          </w:tcPr>
          <w:p w14:paraId="34B414A2">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left"/>
              <w:textAlignment w:val="auto"/>
              <w:rPr>
                <w:color w:val="auto"/>
              </w:rPr>
            </w:pPr>
            <w:r>
              <w:rPr>
                <w:color w:val="auto"/>
              </w:rPr>
              <w:t>液化烃、液氨、液氯等易燃易爆、有毒有害液化气体的充装未使用万向管道充装系统。</w:t>
            </w:r>
          </w:p>
        </w:tc>
        <w:tc>
          <w:tcPr>
            <w:tcW w:w="1573" w:type="pct"/>
            <w:noWrap w:val="0"/>
            <w:vAlign w:val="center"/>
          </w:tcPr>
          <w:p w14:paraId="6B92B48F">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color w:val="auto"/>
                <w:lang w:val="en-US" w:eastAsia="zh-CN"/>
              </w:rPr>
            </w:pPr>
            <w:r>
              <w:rPr>
                <w:rFonts w:hint="eastAsia"/>
                <w:color w:val="auto"/>
                <w:lang w:val="en-US" w:eastAsia="zh-CN"/>
              </w:rPr>
              <w:t>不涉及</w:t>
            </w:r>
            <w:r>
              <w:rPr>
                <w:color w:val="auto"/>
              </w:rPr>
              <w:t>液化烃、液氨、液氯等易燃易爆、有毒有害液化气体的充装</w:t>
            </w:r>
          </w:p>
        </w:tc>
        <w:tc>
          <w:tcPr>
            <w:tcW w:w="432" w:type="pct"/>
            <w:noWrap w:val="0"/>
            <w:vAlign w:val="center"/>
          </w:tcPr>
          <w:p w14:paraId="531B6D87">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color w:val="auto"/>
                <w:lang w:val="en-US" w:eastAsia="zh-CN"/>
              </w:rPr>
            </w:pPr>
            <w:r>
              <w:rPr>
                <w:rFonts w:hint="eastAsia"/>
                <w:color w:val="auto"/>
                <w:lang w:val="en-US" w:eastAsia="zh-CN"/>
              </w:rPr>
              <w:t>-</w:t>
            </w:r>
          </w:p>
        </w:tc>
      </w:tr>
      <w:tr w14:paraId="1E74F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4" w:type="pct"/>
            <w:noWrap w:val="0"/>
            <w:vAlign w:val="center"/>
          </w:tcPr>
          <w:p w14:paraId="7213BFC6">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color w:val="auto"/>
                <w:lang w:val="en-US" w:eastAsia="zh-CN"/>
              </w:rPr>
            </w:pPr>
            <w:r>
              <w:rPr>
                <w:rFonts w:hint="eastAsia"/>
                <w:color w:val="auto"/>
                <w:lang w:val="en-US" w:eastAsia="zh-CN"/>
              </w:rPr>
              <w:t>8</w:t>
            </w:r>
          </w:p>
        </w:tc>
        <w:tc>
          <w:tcPr>
            <w:tcW w:w="2630" w:type="pct"/>
            <w:noWrap w:val="0"/>
            <w:vAlign w:val="center"/>
          </w:tcPr>
          <w:p w14:paraId="45B1448C">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left"/>
              <w:textAlignment w:val="auto"/>
              <w:rPr>
                <w:color w:val="auto"/>
              </w:rPr>
            </w:pPr>
            <w:r>
              <w:rPr>
                <w:color w:val="auto"/>
              </w:rPr>
              <w:t>光气、氯气等剧毒气体及硫化氢气体管道穿越除厂区</w:t>
            </w:r>
            <w:r>
              <w:rPr>
                <w:rFonts w:hint="eastAsia"/>
                <w:color w:val="auto"/>
              </w:rPr>
              <w:t>(包括化工园区、工业园区）外的公共区域。</w:t>
            </w:r>
          </w:p>
        </w:tc>
        <w:tc>
          <w:tcPr>
            <w:tcW w:w="1573" w:type="pct"/>
            <w:noWrap w:val="0"/>
            <w:vAlign w:val="center"/>
          </w:tcPr>
          <w:p w14:paraId="6A6EACBF">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color w:val="auto"/>
                <w:lang w:val="en-US" w:eastAsia="zh-CN"/>
              </w:rPr>
            </w:pPr>
            <w:r>
              <w:rPr>
                <w:rFonts w:hint="eastAsia"/>
                <w:color w:val="auto"/>
                <w:lang w:val="en-US" w:eastAsia="zh-CN"/>
              </w:rPr>
              <w:t>不涉及</w:t>
            </w:r>
            <w:r>
              <w:rPr>
                <w:color w:val="auto"/>
              </w:rPr>
              <w:t>光气、氯气等剧毒气体及硫化氢气体管道穿越</w:t>
            </w:r>
            <w:r>
              <w:rPr>
                <w:rFonts w:hint="eastAsia"/>
                <w:color w:val="auto"/>
                <w:lang w:val="en-US" w:eastAsia="zh-CN"/>
              </w:rPr>
              <w:t>加油站</w:t>
            </w:r>
          </w:p>
        </w:tc>
        <w:tc>
          <w:tcPr>
            <w:tcW w:w="432" w:type="pct"/>
            <w:noWrap w:val="0"/>
            <w:vAlign w:val="center"/>
          </w:tcPr>
          <w:p w14:paraId="62914564">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color w:val="auto"/>
                <w:lang w:val="en-US" w:eastAsia="zh-CN"/>
              </w:rPr>
            </w:pPr>
            <w:r>
              <w:rPr>
                <w:rFonts w:hint="eastAsia"/>
                <w:color w:val="auto"/>
                <w:lang w:val="en-US" w:eastAsia="zh-CN"/>
              </w:rPr>
              <w:t>-</w:t>
            </w:r>
          </w:p>
        </w:tc>
      </w:tr>
      <w:tr w14:paraId="6BF23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4" w:type="pct"/>
            <w:noWrap w:val="0"/>
            <w:vAlign w:val="center"/>
          </w:tcPr>
          <w:p w14:paraId="44C6D637">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color w:val="auto"/>
                <w:lang w:val="en-US" w:eastAsia="zh-CN"/>
              </w:rPr>
            </w:pPr>
            <w:r>
              <w:rPr>
                <w:rFonts w:hint="eastAsia"/>
                <w:color w:val="auto"/>
                <w:lang w:val="en-US" w:eastAsia="zh-CN"/>
              </w:rPr>
              <w:t>9</w:t>
            </w:r>
          </w:p>
        </w:tc>
        <w:tc>
          <w:tcPr>
            <w:tcW w:w="2630" w:type="pct"/>
            <w:noWrap w:val="0"/>
            <w:vAlign w:val="center"/>
          </w:tcPr>
          <w:p w14:paraId="48004B64">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left"/>
              <w:textAlignment w:val="auto"/>
              <w:rPr>
                <w:color w:val="auto"/>
              </w:rPr>
            </w:pPr>
            <w:r>
              <w:rPr>
                <w:color w:val="auto"/>
              </w:rPr>
              <w:t>地区架空电力线路穿越生产区且不符合国家标准要求。</w:t>
            </w:r>
          </w:p>
        </w:tc>
        <w:tc>
          <w:tcPr>
            <w:tcW w:w="1573" w:type="pct"/>
            <w:noWrap w:val="0"/>
            <w:vAlign w:val="center"/>
          </w:tcPr>
          <w:p w14:paraId="1065551D">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color w:val="auto"/>
                <w:lang w:val="en-US" w:eastAsia="zh-CN"/>
              </w:rPr>
            </w:pPr>
            <w:r>
              <w:rPr>
                <w:rFonts w:hint="eastAsia"/>
                <w:color w:val="auto"/>
                <w:lang w:val="en-US" w:eastAsia="zh-CN"/>
              </w:rPr>
              <w:t>无</w:t>
            </w:r>
            <w:r>
              <w:rPr>
                <w:color w:val="auto"/>
              </w:rPr>
              <w:t>架空电力线路穿越</w:t>
            </w:r>
            <w:r>
              <w:rPr>
                <w:rFonts w:hint="eastAsia"/>
                <w:color w:val="auto"/>
                <w:lang w:val="en-US" w:eastAsia="zh-CN"/>
              </w:rPr>
              <w:t>加油站</w:t>
            </w:r>
          </w:p>
        </w:tc>
        <w:tc>
          <w:tcPr>
            <w:tcW w:w="432" w:type="pct"/>
            <w:noWrap w:val="0"/>
            <w:vAlign w:val="center"/>
          </w:tcPr>
          <w:p w14:paraId="7FC31452">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color w:val="auto"/>
                <w:lang w:val="en-US" w:eastAsia="zh-CN"/>
              </w:rPr>
            </w:pPr>
            <w:r>
              <w:rPr>
                <w:rFonts w:hint="eastAsia"/>
                <w:color w:val="auto"/>
                <w:lang w:val="en-US" w:eastAsia="zh-CN"/>
              </w:rPr>
              <w:t>合格</w:t>
            </w:r>
          </w:p>
        </w:tc>
      </w:tr>
      <w:tr w14:paraId="18D3E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4" w:type="pct"/>
            <w:noWrap w:val="0"/>
            <w:vAlign w:val="center"/>
          </w:tcPr>
          <w:p w14:paraId="6C11D283">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color w:val="auto"/>
                <w:lang w:val="en-US" w:eastAsia="zh-CN"/>
              </w:rPr>
            </w:pPr>
            <w:r>
              <w:rPr>
                <w:rFonts w:hint="eastAsia"/>
                <w:color w:val="auto"/>
                <w:lang w:val="en-US" w:eastAsia="zh-CN"/>
              </w:rPr>
              <w:t>10</w:t>
            </w:r>
          </w:p>
        </w:tc>
        <w:tc>
          <w:tcPr>
            <w:tcW w:w="2630" w:type="pct"/>
            <w:noWrap w:val="0"/>
            <w:vAlign w:val="center"/>
          </w:tcPr>
          <w:p w14:paraId="2A06A715">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left"/>
              <w:textAlignment w:val="auto"/>
              <w:rPr>
                <w:color w:val="auto"/>
              </w:rPr>
            </w:pPr>
            <w:r>
              <w:rPr>
                <w:color w:val="auto"/>
              </w:rPr>
              <w:t>在役化工装置未经正规设计且未进行安全设计诊断。</w:t>
            </w:r>
          </w:p>
        </w:tc>
        <w:tc>
          <w:tcPr>
            <w:tcW w:w="1573" w:type="pct"/>
            <w:noWrap w:val="0"/>
            <w:vAlign w:val="center"/>
          </w:tcPr>
          <w:p w14:paraId="4163BA2B">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color w:val="auto"/>
              </w:rPr>
            </w:pPr>
            <w:r>
              <w:rPr>
                <w:rFonts w:hint="eastAsia"/>
                <w:color w:val="auto"/>
                <w:lang w:val="en-US" w:eastAsia="zh-CN"/>
              </w:rPr>
              <w:t>不涉及</w:t>
            </w:r>
            <w:r>
              <w:rPr>
                <w:color w:val="auto"/>
              </w:rPr>
              <w:t>在役化工装置</w:t>
            </w:r>
          </w:p>
        </w:tc>
        <w:tc>
          <w:tcPr>
            <w:tcW w:w="432" w:type="pct"/>
            <w:noWrap w:val="0"/>
            <w:vAlign w:val="center"/>
          </w:tcPr>
          <w:p w14:paraId="76165C21">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color w:val="auto"/>
                <w:lang w:val="en-US" w:eastAsia="zh-CN"/>
              </w:rPr>
            </w:pPr>
            <w:r>
              <w:rPr>
                <w:rFonts w:hint="eastAsia"/>
                <w:color w:val="auto"/>
                <w:lang w:val="en-US" w:eastAsia="zh-CN"/>
              </w:rPr>
              <w:t>-</w:t>
            </w:r>
          </w:p>
        </w:tc>
      </w:tr>
      <w:tr w14:paraId="435C0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4" w:type="pct"/>
            <w:noWrap w:val="0"/>
            <w:vAlign w:val="center"/>
          </w:tcPr>
          <w:p w14:paraId="3271E54B">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color w:val="auto"/>
                <w:lang w:val="en-US" w:eastAsia="zh-CN"/>
              </w:rPr>
            </w:pPr>
            <w:r>
              <w:rPr>
                <w:rFonts w:hint="eastAsia"/>
                <w:color w:val="auto"/>
                <w:lang w:val="en-US" w:eastAsia="zh-CN"/>
              </w:rPr>
              <w:t>11</w:t>
            </w:r>
          </w:p>
        </w:tc>
        <w:tc>
          <w:tcPr>
            <w:tcW w:w="2630" w:type="pct"/>
            <w:noWrap w:val="0"/>
            <w:vAlign w:val="center"/>
          </w:tcPr>
          <w:p w14:paraId="303FA87F">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left"/>
              <w:textAlignment w:val="auto"/>
              <w:rPr>
                <w:color w:val="auto"/>
              </w:rPr>
            </w:pPr>
            <w:r>
              <w:rPr>
                <w:color w:val="auto"/>
              </w:rPr>
              <w:t>使用淘汰落后安全技术工艺、设备目录列出的工艺、设备。</w:t>
            </w:r>
          </w:p>
        </w:tc>
        <w:tc>
          <w:tcPr>
            <w:tcW w:w="1573" w:type="pct"/>
            <w:noWrap w:val="0"/>
            <w:vAlign w:val="center"/>
          </w:tcPr>
          <w:p w14:paraId="2AD402EE">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color w:val="auto"/>
              </w:rPr>
            </w:pPr>
            <w:r>
              <w:rPr>
                <w:rFonts w:hint="eastAsia"/>
                <w:color w:val="auto"/>
                <w:lang w:val="en-US" w:eastAsia="zh-CN"/>
              </w:rPr>
              <w:t>未</w:t>
            </w:r>
            <w:r>
              <w:rPr>
                <w:color w:val="auto"/>
              </w:rPr>
              <w:t>使用淘汰落后安全技术工艺、设备目录列出的工艺、设备。</w:t>
            </w:r>
          </w:p>
        </w:tc>
        <w:tc>
          <w:tcPr>
            <w:tcW w:w="432" w:type="pct"/>
            <w:noWrap w:val="0"/>
            <w:vAlign w:val="center"/>
          </w:tcPr>
          <w:p w14:paraId="4A9887AC">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color w:val="auto"/>
                <w:lang w:val="en-US" w:eastAsia="zh-CN"/>
              </w:rPr>
            </w:pPr>
            <w:r>
              <w:rPr>
                <w:rFonts w:hint="eastAsia"/>
                <w:color w:val="auto"/>
                <w:lang w:val="en-US" w:eastAsia="zh-CN"/>
              </w:rPr>
              <w:t>合格</w:t>
            </w:r>
          </w:p>
        </w:tc>
      </w:tr>
      <w:tr w14:paraId="0CEFC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4" w:type="pct"/>
            <w:noWrap w:val="0"/>
            <w:vAlign w:val="center"/>
          </w:tcPr>
          <w:p w14:paraId="1797D17F">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color w:val="auto"/>
                <w:lang w:val="en-US" w:eastAsia="zh-CN"/>
              </w:rPr>
            </w:pPr>
            <w:r>
              <w:rPr>
                <w:rFonts w:hint="eastAsia"/>
                <w:color w:val="auto"/>
                <w:lang w:val="en-US" w:eastAsia="zh-CN"/>
              </w:rPr>
              <w:t>12</w:t>
            </w:r>
          </w:p>
        </w:tc>
        <w:tc>
          <w:tcPr>
            <w:tcW w:w="2630" w:type="pct"/>
            <w:noWrap w:val="0"/>
            <w:vAlign w:val="center"/>
          </w:tcPr>
          <w:p w14:paraId="2A66AAC7">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left"/>
              <w:textAlignment w:val="auto"/>
              <w:rPr>
                <w:color w:val="auto"/>
              </w:rPr>
            </w:pPr>
            <w:r>
              <w:rPr>
                <w:color w:val="auto"/>
              </w:rPr>
              <w:t>涉及可燃和有毒有害气体泄漏的场所未按国家标准设置检测报警装置，爆炸危险场所未按国家标准安装使用防爆电气设备。</w:t>
            </w:r>
          </w:p>
        </w:tc>
        <w:tc>
          <w:tcPr>
            <w:tcW w:w="1573" w:type="pct"/>
            <w:noWrap w:val="0"/>
            <w:vAlign w:val="center"/>
          </w:tcPr>
          <w:p w14:paraId="7398B33E">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color w:val="auto"/>
              </w:rPr>
            </w:pPr>
            <w:r>
              <w:rPr>
                <w:color w:val="auto"/>
              </w:rPr>
              <w:t>爆炸危险场所按国家标准安装使用防爆电气设备。</w:t>
            </w:r>
          </w:p>
        </w:tc>
        <w:tc>
          <w:tcPr>
            <w:tcW w:w="432" w:type="pct"/>
            <w:noWrap w:val="0"/>
            <w:vAlign w:val="center"/>
          </w:tcPr>
          <w:p w14:paraId="72DF3195">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color w:val="auto"/>
                <w:lang w:val="en-US" w:eastAsia="zh-CN"/>
              </w:rPr>
            </w:pPr>
            <w:r>
              <w:rPr>
                <w:rFonts w:hint="eastAsia"/>
                <w:color w:val="auto"/>
                <w:lang w:val="en-US" w:eastAsia="zh-CN"/>
              </w:rPr>
              <w:t>合格</w:t>
            </w:r>
          </w:p>
        </w:tc>
      </w:tr>
      <w:tr w14:paraId="54D8A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4" w:type="pct"/>
            <w:noWrap w:val="0"/>
            <w:vAlign w:val="center"/>
          </w:tcPr>
          <w:p w14:paraId="261C509E">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color w:val="auto"/>
                <w:lang w:val="en-US" w:eastAsia="zh-CN"/>
              </w:rPr>
            </w:pPr>
            <w:r>
              <w:rPr>
                <w:rFonts w:hint="eastAsia"/>
                <w:color w:val="auto"/>
                <w:lang w:val="en-US" w:eastAsia="zh-CN"/>
              </w:rPr>
              <w:t>13</w:t>
            </w:r>
          </w:p>
        </w:tc>
        <w:tc>
          <w:tcPr>
            <w:tcW w:w="2630" w:type="pct"/>
            <w:noWrap w:val="0"/>
            <w:vAlign w:val="center"/>
          </w:tcPr>
          <w:p w14:paraId="4394922B">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left"/>
              <w:textAlignment w:val="auto"/>
              <w:rPr>
                <w:color w:val="auto"/>
              </w:rPr>
            </w:pPr>
            <w:r>
              <w:rPr>
                <w:color w:val="auto"/>
              </w:rPr>
              <w:t>控制室或机柜间面向具有火灾、爆炸危险性装置一侧不满足国家标准关于防火防爆的要求。</w:t>
            </w:r>
          </w:p>
        </w:tc>
        <w:tc>
          <w:tcPr>
            <w:tcW w:w="1573" w:type="pct"/>
            <w:noWrap w:val="0"/>
            <w:vAlign w:val="center"/>
          </w:tcPr>
          <w:p w14:paraId="521D441A">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color w:val="auto"/>
                <w:lang w:val="en-US" w:eastAsia="zh-CN"/>
              </w:rPr>
            </w:pPr>
            <w:r>
              <w:rPr>
                <w:rFonts w:hint="eastAsia"/>
                <w:color w:val="auto"/>
                <w:lang w:val="en-US" w:eastAsia="zh-CN"/>
              </w:rPr>
              <w:t>-</w:t>
            </w:r>
          </w:p>
        </w:tc>
        <w:tc>
          <w:tcPr>
            <w:tcW w:w="432" w:type="pct"/>
            <w:noWrap w:val="0"/>
            <w:vAlign w:val="center"/>
          </w:tcPr>
          <w:p w14:paraId="5FEACA5D">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color w:val="auto"/>
                <w:lang w:val="en-US" w:eastAsia="zh-CN"/>
              </w:rPr>
            </w:pPr>
            <w:r>
              <w:rPr>
                <w:rFonts w:hint="eastAsia"/>
                <w:color w:val="auto"/>
                <w:lang w:val="en-US" w:eastAsia="zh-CN"/>
              </w:rPr>
              <w:t>-</w:t>
            </w:r>
          </w:p>
        </w:tc>
      </w:tr>
      <w:tr w14:paraId="432CA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4" w:type="pct"/>
            <w:noWrap w:val="0"/>
            <w:vAlign w:val="center"/>
          </w:tcPr>
          <w:p w14:paraId="71BF507E">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color w:val="auto"/>
                <w:lang w:val="en-US" w:eastAsia="zh-CN"/>
              </w:rPr>
            </w:pPr>
            <w:r>
              <w:rPr>
                <w:rFonts w:hint="eastAsia"/>
                <w:color w:val="auto"/>
                <w:lang w:val="en-US" w:eastAsia="zh-CN"/>
              </w:rPr>
              <w:t>14</w:t>
            </w:r>
          </w:p>
        </w:tc>
        <w:tc>
          <w:tcPr>
            <w:tcW w:w="2630" w:type="pct"/>
            <w:noWrap w:val="0"/>
            <w:vAlign w:val="center"/>
          </w:tcPr>
          <w:p w14:paraId="5D63DEDF">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left"/>
              <w:textAlignment w:val="auto"/>
              <w:rPr>
                <w:color w:val="auto"/>
              </w:rPr>
            </w:pPr>
            <w:r>
              <w:rPr>
                <w:color w:val="auto"/>
              </w:rPr>
              <w:t>化工生产装置未按国家标准要求设置双重电源供电，自动化控制系统未设置不间断电源。</w:t>
            </w:r>
          </w:p>
        </w:tc>
        <w:tc>
          <w:tcPr>
            <w:tcW w:w="1573" w:type="pct"/>
            <w:noWrap w:val="0"/>
            <w:vAlign w:val="center"/>
          </w:tcPr>
          <w:p w14:paraId="4EBA0586">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color w:val="auto"/>
              </w:rPr>
            </w:pPr>
            <w:r>
              <w:rPr>
                <w:rFonts w:hint="eastAsia"/>
                <w:color w:val="auto"/>
                <w:lang w:val="en-US" w:eastAsia="zh-CN"/>
              </w:rPr>
              <w:t>不涉及</w:t>
            </w:r>
            <w:r>
              <w:rPr>
                <w:color w:val="auto"/>
              </w:rPr>
              <w:t>化工生产装置</w:t>
            </w:r>
          </w:p>
        </w:tc>
        <w:tc>
          <w:tcPr>
            <w:tcW w:w="432" w:type="pct"/>
            <w:noWrap w:val="0"/>
            <w:vAlign w:val="center"/>
          </w:tcPr>
          <w:p w14:paraId="7AFEB5B9">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color w:val="auto"/>
                <w:lang w:val="en-US" w:eastAsia="zh-CN"/>
              </w:rPr>
            </w:pPr>
            <w:r>
              <w:rPr>
                <w:rFonts w:hint="eastAsia"/>
                <w:color w:val="auto"/>
                <w:lang w:val="en-US" w:eastAsia="zh-CN"/>
              </w:rPr>
              <w:t>-</w:t>
            </w:r>
          </w:p>
        </w:tc>
      </w:tr>
      <w:tr w14:paraId="06418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4" w:type="pct"/>
            <w:noWrap w:val="0"/>
            <w:vAlign w:val="center"/>
          </w:tcPr>
          <w:p w14:paraId="4E53F547">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color w:val="auto"/>
                <w:lang w:val="en-US" w:eastAsia="zh-CN"/>
              </w:rPr>
            </w:pPr>
            <w:r>
              <w:rPr>
                <w:rFonts w:hint="eastAsia"/>
                <w:color w:val="auto"/>
                <w:lang w:val="en-US" w:eastAsia="zh-CN"/>
              </w:rPr>
              <w:t>15</w:t>
            </w:r>
          </w:p>
        </w:tc>
        <w:tc>
          <w:tcPr>
            <w:tcW w:w="2630" w:type="pct"/>
            <w:noWrap w:val="0"/>
            <w:vAlign w:val="center"/>
          </w:tcPr>
          <w:p w14:paraId="569ED5E4">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left"/>
              <w:textAlignment w:val="auto"/>
              <w:rPr>
                <w:color w:val="auto"/>
              </w:rPr>
            </w:pPr>
            <w:r>
              <w:rPr>
                <w:color w:val="auto"/>
              </w:rPr>
              <w:t>安全阀、爆破片等安全附件未正常投用。</w:t>
            </w:r>
          </w:p>
        </w:tc>
        <w:tc>
          <w:tcPr>
            <w:tcW w:w="1573" w:type="pct"/>
            <w:noWrap w:val="0"/>
            <w:vAlign w:val="center"/>
          </w:tcPr>
          <w:p w14:paraId="21958157">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color w:val="auto"/>
              </w:rPr>
            </w:pPr>
            <w:r>
              <w:rPr>
                <w:rFonts w:hint="eastAsia"/>
                <w:color w:val="auto"/>
                <w:lang w:val="en-US" w:eastAsia="zh-CN"/>
              </w:rPr>
              <w:t>不涉及</w:t>
            </w:r>
            <w:r>
              <w:rPr>
                <w:color w:val="auto"/>
              </w:rPr>
              <w:t>安全阀、爆破片</w:t>
            </w:r>
          </w:p>
        </w:tc>
        <w:tc>
          <w:tcPr>
            <w:tcW w:w="432" w:type="pct"/>
            <w:noWrap w:val="0"/>
            <w:vAlign w:val="center"/>
          </w:tcPr>
          <w:p w14:paraId="177A1309">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color w:val="auto"/>
                <w:lang w:val="en-US" w:eastAsia="zh-CN"/>
              </w:rPr>
            </w:pPr>
            <w:r>
              <w:rPr>
                <w:rFonts w:hint="eastAsia"/>
                <w:color w:val="auto"/>
                <w:lang w:val="en-US" w:eastAsia="zh-CN"/>
              </w:rPr>
              <w:t>-</w:t>
            </w:r>
          </w:p>
        </w:tc>
      </w:tr>
      <w:tr w14:paraId="38F70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4" w:type="pct"/>
            <w:noWrap w:val="0"/>
            <w:vAlign w:val="center"/>
          </w:tcPr>
          <w:p w14:paraId="276B916A">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color w:val="auto"/>
                <w:lang w:val="en-US" w:eastAsia="zh-CN"/>
              </w:rPr>
            </w:pPr>
            <w:r>
              <w:rPr>
                <w:rFonts w:hint="eastAsia"/>
                <w:color w:val="auto"/>
                <w:lang w:val="en-US" w:eastAsia="zh-CN"/>
              </w:rPr>
              <w:t>16</w:t>
            </w:r>
          </w:p>
        </w:tc>
        <w:tc>
          <w:tcPr>
            <w:tcW w:w="2630" w:type="pct"/>
            <w:noWrap w:val="0"/>
            <w:vAlign w:val="center"/>
          </w:tcPr>
          <w:p w14:paraId="41D0F66C">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left"/>
              <w:textAlignment w:val="auto"/>
              <w:rPr>
                <w:color w:val="auto"/>
              </w:rPr>
            </w:pPr>
            <w:r>
              <w:rPr>
                <w:color w:val="auto"/>
              </w:rPr>
              <w:t>未建立与岗位相匹配的全员安全生产责任制或者未制定实施生产安全事故隐患排查治理制度。</w:t>
            </w:r>
          </w:p>
        </w:tc>
        <w:tc>
          <w:tcPr>
            <w:tcW w:w="1573" w:type="pct"/>
            <w:noWrap w:val="0"/>
            <w:vAlign w:val="center"/>
          </w:tcPr>
          <w:p w14:paraId="55050EFB">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color w:val="auto"/>
                <w:lang w:val="en-US" w:eastAsia="zh-CN"/>
              </w:rPr>
            </w:pPr>
            <w:r>
              <w:rPr>
                <w:rFonts w:hint="eastAsia"/>
                <w:color w:val="auto"/>
                <w:lang w:val="en-US" w:eastAsia="zh-CN"/>
              </w:rPr>
              <w:t>建立全员安全生产责任制、制定生产安全事故隐患排查治理制度</w:t>
            </w:r>
          </w:p>
        </w:tc>
        <w:tc>
          <w:tcPr>
            <w:tcW w:w="432" w:type="pct"/>
            <w:noWrap w:val="0"/>
            <w:vAlign w:val="center"/>
          </w:tcPr>
          <w:p w14:paraId="028449C2">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color w:val="auto"/>
                <w:lang w:val="en-US" w:eastAsia="zh-CN"/>
              </w:rPr>
            </w:pPr>
            <w:r>
              <w:rPr>
                <w:rFonts w:hint="eastAsia"/>
                <w:color w:val="auto"/>
                <w:lang w:val="en-US" w:eastAsia="zh-CN"/>
              </w:rPr>
              <w:t>合格</w:t>
            </w:r>
          </w:p>
        </w:tc>
      </w:tr>
      <w:tr w14:paraId="0D14B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4" w:type="pct"/>
            <w:noWrap w:val="0"/>
            <w:vAlign w:val="center"/>
          </w:tcPr>
          <w:p w14:paraId="641161ED">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color w:val="auto"/>
                <w:lang w:val="en-US" w:eastAsia="zh-CN"/>
              </w:rPr>
            </w:pPr>
            <w:r>
              <w:rPr>
                <w:rFonts w:hint="eastAsia"/>
                <w:color w:val="auto"/>
                <w:lang w:val="en-US" w:eastAsia="zh-CN"/>
              </w:rPr>
              <w:t>17</w:t>
            </w:r>
          </w:p>
        </w:tc>
        <w:tc>
          <w:tcPr>
            <w:tcW w:w="2630" w:type="pct"/>
            <w:noWrap w:val="0"/>
            <w:vAlign w:val="center"/>
          </w:tcPr>
          <w:p w14:paraId="61A0DC60">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left"/>
              <w:textAlignment w:val="auto"/>
              <w:rPr>
                <w:color w:val="auto"/>
              </w:rPr>
            </w:pPr>
            <w:r>
              <w:rPr>
                <w:color w:val="auto"/>
              </w:rPr>
              <w:t>未制定操作规程和工艺控制指标。</w:t>
            </w:r>
          </w:p>
        </w:tc>
        <w:tc>
          <w:tcPr>
            <w:tcW w:w="1573" w:type="pct"/>
            <w:noWrap w:val="0"/>
            <w:vAlign w:val="center"/>
          </w:tcPr>
          <w:p w14:paraId="0423846A">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color w:val="auto"/>
                <w:lang w:val="en-US" w:eastAsia="zh-CN"/>
              </w:rPr>
            </w:pPr>
            <w:r>
              <w:rPr>
                <w:rFonts w:hint="eastAsia"/>
                <w:color w:val="auto"/>
                <w:lang w:val="en-US" w:eastAsia="zh-CN"/>
              </w:rPr>
              <w:t>制定操作规程</w:t>
            </w:r>
          </w:p>
        </w:tc>
        <w:tc>
          <w:tcPr>
            <w:tcW w:w="432" w:type="pct"/>
            <w:noWrap w:val="0"/>
            <w:vAlign w:val="center"/>
          </w:tcPr>
          <w:p w14:paraId="01DDFF45">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color w:val="auto"/>
                <w:lang w:val="en-US" w:eastAsia="zh-CN"/>
              </w:rPr>
            </w:pPr>
            <w:r>
              <w:rPr>
                <w:rFonts w:hint="eastAsia"/>
                <w:color w:val="auto"/>
                <w:lang w:val="en-US" w:eastAsia="zh-CN"/>
              </w:rPr>
              <w:t>合格</w:t>
            </w:r>
          </w:p>
        </w:tc>
      </w:tr>
      <w:tr w14:paraId="7A56D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4" w:type="pct"/>
            <w:noWrap w:val="0"/>
            <w:vAlign w:val="center"/>
          </w:tcPr>
          <w:p w14:paraId="3980B90F">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color w:val="auto"/>
                <w:lang w:val="en-US" w:eastAsia="zh-CN"/>
              </w:rPr>
            </w:pPr>
            <w:r>
              <w:rPr>
                <w:rFonts w:hint="eastAsia"/>
                <w:color w:val="auto"/>
                <w:lang w:val="en-US" w:eastAsia="zh-CN"/>
              </w:rPr>
              <w:t>18</w:t>
            </w:r>
          </w:p>
        </w:tc>
        <w:tc>
          <w:tcPr>
            <w:tcW w:w="2630" w:type="pct"/>
            <w:noWrap w:val="0"/>
            <w:vAlign w:val="center"/>
          </w:tcPr>
          <w:p w14:paraId="0A978A6E">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left"/>
              <w:textAlignment w:val="auto"/>
              <w:rPr>
                <w:color w:val="auto"/>
              </w:rPr>
            </w:pPr>
            <w:r>
              <w:rPr>
                <w:color w:val="auto"/>
              </w:rPr>
              <w:t>未按照国家标准制定动火、进入受限空间等特殊作业管理制度，或者制度未有效执行。</w:t>
            </w:r>
          </w:p>
        </w:tc>
        <w:tc>
          <w:tcPr>
            <w:tcW w:w="1573" w:type="pct"/>
            <w:noWrap w:val="0"/>
            <w:vAlign w:val="center"/>
          </w:tcPr>
          <w:p w14:paraId="79581A82">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color w:val="auto"/>
              </w:rPr>
            </w:pPr>
            <w:r>
              <w:rPr>
                <w:color w:val="auto"/>
              </w:rPr>
              <w:t>制定动火、进入受限空间等特殊作业管理制度</w:t>
            </w:r>
          </w:p>
        </w:tc>
        <w:tc>
          <w:tcPr>
            <w:tcW w:w="432" w:type="pct"/>
            <w:noWrap w:val="0"/>
            <w:vAlign w:val="center"/>
          </w:tcPr>
          <w:p w14:paraId="3D849C0F">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color w:val="auto"/>
                <w:lang w:val="en-US" w:eastAsia="zh-CN"/>
              </w:rPr>
            </w:pPr>
            <w:r>
              <w:rPr>
                <w:rFonts w:hint="eastAsia"/>
                <w:color w:val="auto"/>
                <w:lang w:val="en-US" w:eastAsia="zh-CN"/>
              </w:rPr>
              <w:t>合格</w:t>
            </w:r>
          </w:p>
        </w:tc>
      </w:tr>
      <w:tr w14:paraId="3C462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4" w:type="pct"/>
            <w:noWrap w:val="0"/>
            <w:vAlign w:val="center"/>
          </w:tcPr>
          <w:p w14:paraId="7ED58B0C">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color w:val="auto"/>
                <w:lang w:val="en-US" w:eastAsia="zh-CN"/>
              </w:rPr>
            </w:pPr>
            <w:r>
              <w:rPr>
                <w:rFonts w:hint="eastAsia"/>
                <w:color w:val="auto"/>
                <w:lang w:val="en-US" w:eastAsia="zh-CN"/>
              </w:rPr>
              <w:t>19</w:t>
            </w:r>
          </w:p>
        </w:tc>
        <w:tc>
          <w:tcPr>
            <w:tcW w:w="2630" w:type="pct"/>
            <w:noWrap w:val="0"/>
            <w:vAlign w:val="center"/>
          </w:tcPr>
          <w:p w14:paraId="23075C1F">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left"/>
              <w:textAlignment w:val="auto"/>
              <w:rPr>
                <w:color w:val="auto"/>
              </w:rPr>
            </w:pPr>
            <w:r>
              <w:rPr>
                <w:color w:val="auto"/>
              </w:rPr>
              <w:t>新开发的危险化学品生产工艺未经小试、中试、工业化试验直接进行工业化生产；国内首次使用的化工工艺未经过省级人民政府有关部门组织的安全可靠性论证；新建装置未制定试生产方案投料开车；精细化工企业未按规范性文件要求开展反应安全风险评估。</w:t>
            </w:r>
          </w:p>
        </w:tc>
        <w:tc>
          <w:tcPr>
            <w:tcW w:w="1573" w:type="pct"/>
            <w:noWrap w:val="0"/>
            <w:vAlign w:val="center"/>
          </w:tcPr>
          <w:p w14:paraId="361A3C0C">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color w:val="auto"/>
              </w:rPr>
            </w:pPr>
            <w:r>
              <w:rPr>
                <w:rFonts w:hint="eastAsia"/>
                <w:color w:val="auto"/>
                <w:lang w:val="en-US" w:eastAsia="zh-CN"/>
              </w:rPr>
              <w:t>不涉及</w:t>
            </w:r>
            <w:r>
              <w:rPr>
                <w:color w:val="auto"/>
              </w:rPr>
              <w:t>危险化学品生产工艺</w:t>
            </w:r>
          </w:p>
        </w:tc>
        <w:tc>
          <w:tcPr>
            <w:tcW w:w="432" w:type="pct"/>
            <w:noWrap w:val="0"/>
            <w:vAlign w:val="center"/>
          </w:tcPr>
          <w:p w14:paraId="06F329DA">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color w:val="auto"/>
                <w:lang w:val="en-US" w:eastAsia="zh-CN"/>
              </w:rPr>
            </w:pPr>
            <w:r>
              <w:rPr>
                <w:rFonts w:hint="eastAsia"/>
                <w:color w:val="auto"/>
                <w:lang w:val="en-US" w:eastAsia="zh-CN"/>
              </w:rPr>
              <w:t>-</w:t>
            </w:r>
          </w:p>
        </w:tc>
      </w:tr>
      <w:tr w14:paraId="6584C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4" w:type="pct"/>
            <w:noWrap w:val="0"/>
            <w:vAlign w:val="center"/>
          </w:tcPr>
          <w:p w14:paraId="62CACE90">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color w:val="auto"/>
                <w:lang w:val="en-US" w:eastAsia="zh-CN"/>
              </w:rPr>
            </w:pPr>
            <w:r>
              <w:rPr>
                <w:rFonts w:hint="eastAsia"/>
                <w:color w:val="auto"/>
                <w:lang w:val="en-US" w:eastAsia="zh-CN"/>
              </w:rPr>
              <w:t>20</w:t>
            </w:r>
          </w:p>
        </w:tc>
        <w:tc>
          <w:tcPr>
            <w:tcW w:w="2630" w:type="pct"/>
            <w:noWrap w:val="0"/>
            <w:vAlign w:val="center"/>
          </w:tcPr>
          <w:p w14:paraId="6CC4095D">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left"/>
              <w:textAlignment w:val="auto"/>
              <w:rPr>
                <w:color w:val="auto"/>
              </w:rPr>
            </w:pPr>
            <w:r>
              <w:rPr>
                <w:color w:val="auto"/>
              </w:rPr>
              <w:t>未按国家标准分区分类储存危险化学品，超量、超品种储存危险化学品，相互禁配物质混放混存。</w:t>
            </w:r>
          </w:p>
        </w:tc>
        <w:tc>
          <w:tcPr>
            <w:tcW w:w="1573" w:type="pct"/>
            <w:noWrap w:val="0"/>
            <w:vAlign w:val="center"/>
          </w:tcPr>
          <w:p w14:paraId="633237D2">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color w:val="auto"/>
                <w:lang w:val="en-US"/>
              </w:rPr>
            </w:pPr>
            <w:r>
              <w:rPr>
                <w:color w:val="auto"/>
              </w:rPr>
              <w:t>按国家标准分区分类储存</w:t>
            </w:r>
            <w:r>
              <w:rPr>
                <w:rFonts w:hint="eastAsia"/>
                <w:color w:val="auto"/>
                <w:lang w:val="en-US" w:eastAsia="zh-CN"/>
              </w:rPr>
              <w:t>柴油</w:t>
            </w:r>
          </w:p>
        </w:tc>
        <w:tc>
          <w:tcPr>
            <w:tcW w:w="432" w:type="pct"/>
            <w:noWrap w:val="0"/>
            <w:vAlign w:val="center"/>
          </w:tcPr>
          <w:p w14:paraId="7EAFFEBA">
            <w:pPr>
              <w:pStyle w:val="43"/>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eastAsia"/>
                <w:color w:val="auto"/>
                <w:lang w:val="en-US" w:eastAsia="zh-CN"/>
              </w:rPr>
            </w:pPr>
            <w:r>
              <w:rPr>
                <w:rFonts w:hint="eastAsia"/>
                <w:color w:val="auto"/>
                <w:lang w:val="en-US" w:eastAsia="zh-CN"/>
              </w:rPr>
              <w:t>合格</w:t>
            </w:r>
          </w:p>
        </w:tc>
      </w:tr>
    </w:tbl>
    <w:p w14:paraId="73BEF556">
      <w:pPr>
        <w:rPr>
          <w:rFonts w:hint="default"/>
          <w:lang w:val="en-US" w:eastAsia="zh-CN"/>
        </w:rPr>
      </w:pPr>
    </w:p>
    <w:p w14:paraId="0AEBED86">
      <w:pPr>
        <w:rPr>
          <w:rFonts w:hint="default"/>
          <w:lang w:val="en-US" w:eastAsia="zh-CN"/>
        </w:rPr>
      </w:pPr>
      <w:r>
        <w:rPr>
          <w:rFonts w:hint="default"/>
          <w:lang w:val="en-US" w:eastAsia="zh-CN"/>
        </w:rPr>
        <w:br w:type="page"/>
      </w:r>
    </w:p>
    <w:p w14:paraId="74F9276C">
      <w:pPr>
        <w:pStyle w:val="2"/>
        <w:bidi w:val="0"/>
        <w:rPr>
          <w:rFonts w:hint="default"/>
          <w:lang w:val="en-US" w:eastAsia="zh-CN"/>
        </w:rPr>
      </w:pPr>
      <w:bookmarkStart w:id="113" w:name="_Toc19554"/>
      <w:r>
        <w:rPr>
          <w:rFonts w:hint="default"/>
          <w:lang w:val="en-US" w:eastAsia="zh-CN"/>
        </w:rPr>
        <w:t>F4 企业提供的文件、资料</w:t>
      </w:r>
      <w:bookmarkEnd w:id="113"/>
    </w:p>
    <w:p w14:paraId="641B2120">
      <w:pPr>
        <w:rPr>
          <w:rFonts w:hint="default"/>
          <w:color w:val="auto"/>
          <w:lang w:val="en-US" w:eastAsia="zh-CN"/>
        </w:rPr>
      </w:pPr>
      <w:r>
        <w:rPr>
          <w:rFonts w:hint="default"/>
          <w:color w:val="auto"/>
          <w:lang w:val="en-US" w:eastAsia="zh-CN"/>
        </w:rPr>
        <w:t>1. 安全验收专家组意见</w:t>
      </w:r>
    </w:p>
    <w:p w14:paraId="59871588">
      <w:pPr>
        <w:rPr>
          <w:rFonts w:hint="default"/>
          <w:color w:val="auto"/>
          <w:lang w:val="en-US" w:eastAsia="zh-CN"/>
        </w:rPr>
      </w:pPr>
      <w:r>
        <w:rPr>
          <w:rFonts w:hint="default"/>
          <w:color w:val="auto"/>
          <w:lang w:val="en-US" w:eastAsia="zh-CN"/>
        </w:rPr>
        <w:t>2. 安全验收报告专家组意见回复</w:t>
      </w:r>
    </w:p>
    <w:p w14:paraId="1A67FB1D">
      <w:pPr>
        <w:rPr>
          <w:rFonts w:hint="default"/>
          <w:color w:val="auto"/>
          <w:lang w:val="en-US" w:eastAsia="zh-CN"/>
        </w:rPr>
      </w:pPr>
      <w:r>
        <w:rPr>
          <w:rFonts w:hint="default"/>
          <w:color w:val="auto"/>
          <w:lang w:val="en-US" w:eastAsia="zh-CN"/>
        </w:rPr>
        <w:t>3. 安全验收专家组意见现场整改回复</w:t>
      </w:r>
    </w:p>
    <w:p w14:paraId="491AD62D">
      <w:pPr>
        <w:rPr>
          <w:rFonts w:hint="default"/>
          <w:color w:val="auto"/>
          <w:lang w:val="en-US" w:eastAsia="zh-CN"/>
        </w:rPr>
      </w:pPr>
      <w:r>
        <w:rPr>
          <w:rFonts w:hint="eastAsia"/>
          <w:color w:val="auto"/>
          <w:lang w:val="en-US" w:eastAsia="zh-CN"/>
        </w:rPr>
        <w:t>4</w:t>
      </w:r>
      <w:r>
        <w:rPr>
          <w:rFonts w:hint="default"/>
          <w:color w:val="auto"/>
          <w:lang w:val="en-US" w:eastAsia="zh-CN"/>
        </w:rPr>
        <w:t>. 整改建议</w:t>
      </w:r>
    </w:p>
    <w:p w14:paraId="17ECC951">
      <w:pPr>
        <w:rPr>
          <w:rFonts w:hint="default"/>
          <w:color w:val="auto"/>
          <w:lang w:val="en-US" w:eastAsia="zh-CN"/>
        </w:rPr>
      </w:pPr>
      <w:r>
        <w:rPr>
          <w:rFonts w:hint="eastAsia"/>
          <w:color w:val="auto"/>
          <w:lang w:val="en-US" w:eastAsia="zh-CN"/>
        </w:rPr>
        <w:t>5</w:t>
      </w:r>
      <w:r>
        <w:rPr>
          <w:rFonts w:hint="default"/>
          <w:color w:val="auto"/>
          <w:lang w:val="en-US" w:eastAsia="zh-CN"/>
        </w:rPr>
        <w:t xml:space="preserve">. </w:t>
      </w:r>
      <w:r>
        <w:rPr>
          <w:rFonts w:hint="eastAsia"/>
          <w:color w:val="auto"/>
          <w:lang w:val="en-US" w:eastAsia="zh-CN"/>
        </w:rPr>
        <w:t>企业</w:t>
      </w:r>
      <w:r>
        <w:rPr>
          <w:rFonts w:hint="default"/>
          <w:color w:val="auto"/>
          <w:lang w:val="en-US" w:eastAsia="zh-CN"/>
        </w:rPr>
        <w:t>整改回复</w:t>
      </w:r>
    </w:p>
    <w:p w14:paraId="22DEA521">
      <w:pPr>
        <w:rPr>
          <w:rFonts w:hint="default"/>
          <w:color w:val="auto"/>
          <w:lang w:val="en-US" w:eastAsia="zh-CN"/>
        </w:rPr>
      </w:pPr>
      <w:r>
        <w:rPr>
          <w:rFonts w:hint="eastAsia"/>
          <w:color w:val="auto"/>
          <w:lang w:val="en-US" w:eastAsia="zh-CN"/>
        </w:rPr>
        <w:t>6</w:t>
      </w:r>
      <w:r>
        <w:rPr>
          <w:rFonts w:hint="default"/>
          <w:color w:val="auto"/>
          <w:lang w:val="en-US" w:eastAsia="zh-CN"/>
        </w:rPr>
        <w:t>. 复查意见</w:t>
      </w:r>
    </w:p>
    <w:p w14:paraId="479C4170">
      <w:pPr>
        <w:rPr>
          <w:rFonts w:hint="default"/>
          <w:color w:val="auto"/>
          <w:lang w:val="en-US" w:eastAsia="zh-CN"/>
        </w:rPr>
      </w:pPr>
      <w:r>
        <w:rPr>
          <w:rFonts w:hint="eastAsia"/>
          <w:color w:val="auto"/>
          <w:lang w:val="en-US" w:eastAsia="zh-CN"/>
        </w:rPr>
        <w:t xml:space="preserve">7. </w:t>
      </w:r>
      <w:r>
        <w:rPr>
          <w:rFonts w:hint="default"/>
          <w:color w:val="auto"/>
          <w:lang w:val="en-US" w:eastAsia="zh-CN"/>
        </w:rPr>
        <w:t>营业执照</w:t>
      </w:r>
    </w:p>
    <w:p w14:paraId="7CC979E0">
      <w:pPr>
        <w:rPr>
          <w:rFonts w:hint="default"/>
          <w:lang w:val="en-US" w:eastAsia="zh-CN"/>
        </w:rPr>
      </w:pPr>
      <w:r>
        <w:rPr>
          <w:rFonts w:hint="eastAsia"/>
          <w:lang w:val="en-US" w:eastAsia="zh-CN"/>
        </w:rPr>
        <w:t>8. 不动产权证</w:t>
      </w:r>
    </w:p>
    <w:p w14:paraId="445A1893">
      <w:pPr>
        <w:rPr>
          <w:rFonts w:hint="default"/>
          <w:lang w:val="en-US" w:eastAsia="zh-CN"/>
        </w:rPr>
      </w:pPr>
      <w:r>
        <w:rPr>
          <w:rFonts w:hint="eastAsia"/>
          <w:lang w:val="en-US" w:eastAsia="zh-CN"/>
        </w:rPr>
        <w:t xml:space="preserve">9. </w:t>
      </w:r>
      <w:r>
        <w:rPr>
          <w:rFonts w:hint="default"/>
          <w:lang w:val="en-US" w:eastAsia="zh-CN"/>
        </w:rPr>
        <w:t>主要负责人、安全管理人员安全资格证书</w:t>
      </w:r>
    </w:p>
    <w:p w14:paraId="3BE58878">
      <w:pPr>
        <w:rPr>
          <w:rFonts w:hint="default"/>
          <w:lang w:val="en-US" w:eastAsia="zh-CN"/>
        </w:rPr>
      </w:pPr>
      <w:r>
        <w:rPr>
          <w:rFonts w:hint="eastAsia"/>
          <w:lang w:val="en-US" w:eastAsia="zh-CN"/>
        </w:rPr>
        <w:t xml:space="preserve">10. </w:t>
      </w:r>
      <w:r>
        <w:rPr>
          <w:rFonts w:hint="default"/>
          <w:lang w:val="en-US" w:eastAsia="zh-CN"/>
        </w:rPr>
        <w:t>应急预案备案登记表</w:t>
      </w:r>
    </w:p>
    <w:p w14:paraId="3AF10BF1">
      <w:pPr>
        <w:rPr>
          <w:rFonts w:hint="default"/>
          <w:b w:val="0"/>
          <w:bCs w:val="0"/>
          <w:color w:val="auto"/>
          <w:lang w:val="en-US" w:eastAsia="zh-CN"/>
        </w:rPr>
      </w:pPr>
      <w:r>
        <w:rPr>
          <w:rFonts w:hint="eastAsia"/>
          <w:b w:val="0"/>
          <w:bCs w:val="0"/>
          <w:color w:val="auto"/>
          <w:lang w:val="en-US" w:eastAsia="zh-CN"/>
        </w:rPr>
        <w:t xml:space="preserve">11. </w:t>
      </w:r>
      <w:r>
        <w:rPr>
          <w:rFonts w:hint="default"/>
          <w:b w:val="0"/>
          <w:bCs w:val="0"/>
          <w:color w:val="auto"/>
          <w:lang w:val="en-US" w:eastAsia="zh-CN"/>
        </w:rPr>
        <w:t>撬装设备合格证</w:t>
      </w:r>
    </w:p>
    <w:p w14:paraId="10B0FACC">
      <w:pPr>
        <w:rPr>
          <w:rFonts w:hint="default"/>
          <w:b w:val="0"/>
          <w:bCs w:val="0"/>
          <w:color w:val="auto"/>
          <w:lang w:val="en-US" w:eastAsia="zh-CN"/>
        </w:rPr>
      </w:pPr>
      <w:r>
        <w:rPr>
          <w:rFonts w:hint="eastAsia"/>
          <w:b w:val="0"/>
          <w:bCs w:val="0"/>
          <w:color w:val="auto"/>
          <w:lang w:val="en-US" w:eastAsia="zh-CN"/>
        </w:rPr>
        <w:t>12. 防雷装置检测报告</w:t>
      </w:r>
    </w:p>
    <w:p w14:paraId="42E5A544">
      <w:pPr>
        <w:rPr>
          <w:rFonts w:hint="default"/>
          <w:color w:val="auto"/>
          <w:lang w:val="en-US" w:eastAsia="zh-CN"/>
        </w:rPr>
      </w:pPr>
      <w:r>
        <w:rPr>
          <w:rFonts w:hint="eastAsia"/>
          <w:lang w:val="en-US" w:eastAsia="zh-CN"/>
        </w:rPr>
        <w:t>13.</w:t>
      </w:r>
      <w:r>
        <w:rPr>
          <w:rFonts w:hint="eastAsia"/>
          <w:color w:val="auto"/>
          <w:lang w:val="en-US" w:eastAsia="zh-CN"/>
        </w:rPr>
        <w:t xml:space="preserve"> 设备调试验收报告</w:t>
      </w:r>
    </w:p>
    <w:p w14:paraId="7B065D5E">
      <w:pPr>
        <w:rPr>
          <w:rFonts w:hint="default"/>
          <w:color w:val="auto"/>
          <w:lang w:val="en-US" w:eastAsia="zh-CN"/>
        </w:rPr>
      </w:pPr>
      <w:r>
        <w:rPr>
          <w:rFonts w:hint="default"/>
          <w:color w:val="auto"/>
          <w:lang w:val="en-US" w:eastAsia="zh-CN"/>
        </w:rPr>
        <w:t>1</w:t>
      </w:r>
      <w:r>
        <w:rPr>
          <w:rFonts w:hint="eastAsia"/>
          <w:color w:val="auto"/>
          <w:lang w:val="en-US" w:eastAsia="zh-CN"/>
        </w:rPr>
        <w:t xml:space="preserve">4. </w:t>
      </w:r>
      <w:r>
        <w:rPr>
          <w:rFonts w:hint="default"/>
          <w:color w:val="auto"/>
          <w:lang w:val="en-US" w:eastAsia="zh-CN"/>
        </w:rPr>
        <w:t>工程设计单位、施工安装单位资质证书</w:t>
      </w:r>
    </w:p>
    <w:p w14:paraId="3F45D522">
      <w:pPr>
        <w:rPr>
          <w:rFonts w:hint="default"/>
          <w:color w:val="auto"/>
          <w:lang w:val="en-US" w:eastAsia="zh-CN"/>
        </w:rPr>
      </w:pPr>
      <w:r>
        <w:rPr>
          <w:rFonts w:hint="eastAsia"/>
          <w:color w:val="auto"/>
          <w:lang w:val="en-US" w:eastAsia="zh-CN"/>
        </w:rPr>
        <w:t>15. 立项备案文件</w:t>
      </w:r>
    </w:p>
    <w:p w14:paraId="0C806257">
      <w:pPr>
        <w:rPr>
          <w:rFonts w:hint="default"/>
          <w:color w:val="auto"/>
          <w:lang w:val="en-US" w:eastAsia="zh-CN"/>
        </w:rPr>
      </w:pPr>
      <w:r>
        <w:rPr>
          <w:rFonts w:hint="eastAsia"/>
          <w:color w:val="auto"/>
          <w:lang w:val="en-US" w:eastAsia="zh-CN"/>
        </w:rPr>
        <w:t>16. 安全条件评价</w:t>
      </w:r>
    </w:p>
    <w:p w14:paraId="5FE695BB">
      <w:pPr>
        <w:rPr>
          <w:rFonts w:hint="default"/>
          <w:color w:val="auto"/>
          <w:lang w:val="en-US" w:eastAsia="zh-CN"/>
        </w:rPr>
      </w:pPr>
      <w:r>
        <w:rPr>
          <w:rFonts w:hint="default"/>
          <w:color w:val="auto"/>
          <w:lang w:val="en-US" w:eastAsia="zh-CN"/>
        </w:rPr>
        <w:t>1</w:t>
      </w:r>
      <w:r>
        <w:rPr>
          <w:rFonts w:hint="eastAsia"/>
          <w:color w:val="auto"/>
          <w:lang w:val="en-US" w:eastAsia="zh-CN"/>
        </w:rPr>
        <w:t>7. 安全</w:t>
      </w:r>
      <w:r>
        <w:rPr>
          <w:rFonts w:hint="default"/>
          <w:color w:val="auto"/>
          <w:lang w:val="en-US" w:eastAsia="zh-CN"/>
        </w:rPr>
        <w:t>设施设计专家意见</w:t>
      </w:r>
    </w:p>
    <w:p w14:paraId="35FA4598">
      <w:pPr>
        <w:rPr>
          <w:rFonts w:hint="default"/>
          <w:b w:val="0"/>
          <w:bCs w:val="0"/>
          <w:color w:val="auto"/>
          <w:lang w:val="en-US" w:eastAsia="zh-CN"/>
        </w:rPr>
      </w:pPr>
      <w:r>
        <w:rPr>
          <w:rFonts w:hint="default"/>
          <w:b w:val="0"/>
          <w:bCs w:val="0"/>
          <w:color w:val="auto"/>
          <w:lang w:val="en-US" w:eastAsia="zh-CN"/>
        </w:rPr>
        <w:t>1</w:t>
      </w:r>
      <w:r>
        <w:rPr>
          <w:rFonts w:hint="eastAsia"/>
          <w:b w:val="0"/>
          <w:bCs w:val="0"/>
          <w:color w:val="auto"/>
          <w:lang w:val="en-US" w:eastAsia="zh-CN"/>
        </w:rPr>
        <w:t>8</w:t>
      </w:r>
      <w:bookmarkStart w:id="114" w:name="_GoBack"/>
      <w:bookmarkEnd w:id="114"/>
      <w:r>
        <w:rPr>
          <w:rFonts w:hint="eastAsia"/>
          <w:b w:val="0"/>
          <w:bCs w:val="0"/>
          <w:color w:val="auto"/>
          <w:lang w:val="en-US" w:eastAsia="zh-CN"/>
        </w:rPr>
        <w:t xml:space="preserve">. </w:t>
      </w:r>
      <w:r>
        <w:rPr>
          <w:rFonts w:hint="default"/>
          <w:b w:val="0"/>
          <w:bCs w:val="0"/>
          <w:color w:val="auto"/>
          <w:lang w:val="en-US" w:eastAsia="zh-CN"/>
        </w:rPr>
        <w:t>竣工图</w:t>
      </w:r>
    </w:p>
    <w:p w14:paraId="7531CDDB">
      <w:pPr>
        <w:rPr>
          <w:rFonts w:hint="default"/>
          <w:b w:val="0"/>
          <w:bCs w:val="0"/>
          <w:color w:val="auto"/>
          <w:lang w:val="en-US" w:eastAsia="zh-CN"/>
        </w:rPr>
      </w:pPr>
    </w:p>
    <w:p w14:paraId="6C419898">
      <w:pPr>
        <w:rPr>
          <w:rFonts w:hint="default"/>
          <w:b w:val="0"/>
          <w:bCs w:val="0"/>
          <w:color w:val="auto"/>
          <w:lang w:val="en-US" w:eastAsia="zh-CN"/>
        </w:rPr>
      </w:pPr>
      <w:r>
        <w:rPr>
          <w:rFonts w:hint="default"/>
          <w:b w:val="0"/>
          <w:bCs w:val="0"/>
          <w:color w:val="auto"/>
          <w:lang w:val="en-US" w:eastAsia="zh-CN"/>
        </w:rPr>
        <w:br w:type="page"/>
      </w:r>
    </w:p>
    <w:p w14:paraId="56A5D678">
      <w:pPr>
        <w:rPr>
          <w:rFonts w:hint="default"/>
          <w:color w:val="auto"/>
          <w:lang w:val="en-US" w:eastAsia="zh-CN"/>
        </w:rPr>
      </w:pPr>
      <w:r>
        <w:rPr>
          <w:rFonts w:hint="default"/>
          <w:color w:val="auto"/>
          <w:lang w:val="en-US" w:eastAsia="zh-CN"/>
        </w:rPr>
        <w:t>附：评价人员与企业安全管理人员现场合影</w:t>
      </w:r>
    </w:p>
    <w:p w14:paraId="1CCCB1E8">
      <w:pPr>
        <w:ind w:left="0" w:leftChars="0" w:firstLine="0" w:firstLineChars="0"/>
        <w:jc w:val="center"/>
        <w:rPr>
          <w:rFonts w:hint="default"/>
          <w:b w:val="0"/>
          <w:bCs w:val="0"/>
          <w:color w:val="auto"/>
          <w:lang w:val="en-US" w:eastAsia="zh-CN"/>
        </w:rPr>
      </w:pPr>
      <w:r>
        <w:rPr>
          <w:rFonts w:hint="default"/>
          <w:b w:val="0"/>
          <w:bCs w:val="0"/>
          <w:color w:val="auto"/>
          <w:lang w:val="en-US" w:eastAsia="zh-CN"/>
        </w:rPr>
        <w:drawing>
          <wp:inline distT="0" distB="0" distL="114300" distR="114300">
            <wp:extent cx="5400040" cy="4050030"/>
            <wp:effectExtent l="0" t="0" r="10160" b="7620"/>
            <wp:docPr id="3" name="图片 3" descr="IMG_2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349"/>
                    <pic:cNvPicPr>
                      <a:picLocks noChangeAspect="1"/>
                    </pic:cNvPicPr>
                  </pic:nvPicPr>
                  <pic:blipFill>
                    <a:blip r:embed="rId13"/>
                    <a:stretch>
                      <a:fillRect/>
                    </a:stretch>
                  </pic:blipFill>
                  <pic:spPr>
                    <a:xfrm>
                      <a:off x="0" y="0"/>
                      <a:ext cx="5400040" cy="4050030"/>
                    </a:xfrm>
                    <a:prstGeom prst="rect">
                      <a:avLst/>
                    </a:prstGeom>
                  </pic:spPr>
                </pic:pic>
              </a:graphicData>
            </a:graphic>
          </wp:inline>
        </w:drawing>
      </w:r>
    </w:p>
    <w:sectPr>
      <w:footerReference r:id="rId7" w:type="default"/>
      <w:type w:val="continuous"/>
      <w:pgSz w:w="11906" w:h="16839"/>
      <w:pgMar w:top="1417" w:right="1417" w:bottom="1417" w:left="1417" w:header="850" w:footer="992" w:gutter="0"/>
      <w:pgNumType w:fmt="decimal" w:start="1"/>
      <w:cols w:space="425" w:num="1"/>
      <w:rtlGutter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2"/>
    <w:family w:val="script"/>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12E9A84-9E01-47C8-B0C6-855BE8D63E8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新宋体">
    <w:panose1 w:val="02010609030101010101"/>
    <w:charset w:val="86"/>
    <w:family w:val="modern"/>
    <w:pitch w:val="default"/>
    <w:sig w:usb0="00000203" w:usb1="288F0000" w:usb2="00000006" w:usb3="00000000" w:csb0="00040001" w:csb1="00000000"/>
  </w:font>
  <w:font w:name="Batang">
    <w:altName w:val="Malgun Gothic"/>
    <w:panose1 w:val="02030600000101010101"/>
    <w:charset w:val="81"/>
    <w:family w:val="roman"/>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MS Gothic">
    <w:panose1 w:val="020B0609070205080204"/>
    <w:charset w:val="80"/>
    <w:family w:val="modern"/>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embedRegular r:id="rId2" w:fontKey="{D94BFBA7-3583-4A37-A476-26211EF15EE3}"/>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3" w:fontKey="{E8DB3D4E-B989-457B-B054-4CD6F0010572}"/>
  </w:font>
  <w:font w:name="方正小标宋简体">
    <w:panose1 w:val="02000000000000000000"/>
    <w:charset w:val="86"/>
    <w:family w:val="script"/>
    <w:pitch w:val="default"/>
    <w:sig w:usb0="00000001" w:usb1="08000000" w:usb2="00000000" w:usb3="00000000" w:csb0="00040000" w:csb1="00000000"/>
    <w:embedRegular r:id="rId4" w:fontKey="{FCB06F4C-803A-4124-B087-44D606427753}"/>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1F2CAD">
    <w:pPr>
      <w:pStyle w:val="13"/>
      <w:pBdr>
        <w:top w:val="single" w:color="auto" w:sz="4" w:space="0"/>
      </w:pBdr>
      <w:ind w:left="0" w:leftChars="0" w:firstLine="0" w:firstLineChars="0"/>
      <w:rPr>
        <w:rFonts w:hint="default" w:eastAsia="宋体"/>
        <w:lang w:val="en-US"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66E53D">
                          <w:pPr>
                            <w:pStyle w:val="1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xhYO8zAgAAYwQAAA4AAABkcnMvZTJvRG9jLnhtbK1UzY7TMBC+I/EO&#10;lu80aYFV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xhYO8zAgAAYwQAAA4AAAAAAAAAAQAgAAAAHwEAAGRycy9lMm9Eb2MueG1sUEsF&#10;BgAAAAAGAAYAWQEAAMQFAAAAAA==&#10;">
              <v:fill on="f" focussize="0,0"/>
              <v:stroke on="f" weight="0.5pt"/>
              <v:imagedata o:title=""/>
              <o:lock v:ext="edit" aspectratio="f"/>
              <v:textbox inset="0mm,0mm,0mm,0mm" style="mso-fit-shape-to-text:t;">
                <w:txbxContent>
                  <w:p w14:paraId="2766E53D">
                    <w:pPr>
                      <w:pStyle w:val="13"/>
                    </w:pPr>
                    <w:r>
                      <w:fldChar w:fldCharType="begin"/>
                    </w:r>
                    <w:r>
                      <w:instrText xml:space="preserve"> PAGE  \* MERGEFORMAT </w:instrText>
                    </w:r>
                    <w:r>
                      <w:fldChar w:fldCharType="separate"/>
                    </w:r>
                    <w:r>
                      <w:t>7</w:t>
                    </w:r>
                    <w:r>
                      <w:fldChar w:fldCharType="end"/>
                    </w:r>
                  </w:p>
                </w:txbxContent>
              </v:textbox>
            </v:shape>
          </w:pict>
        </mc:Fallback>
      </mc:AlternateContent>
    </w:r>
    <w:r>
      <w:rPr>
        <w:rFonts w:hint="eastAsia"/>
      </w:rPr>
      <w:t>江西赣安安全生产科学技术咨询服务中心</w:t>
    </w:r>
    <w:r>
      <w:rPr>
        <w:rFonts w:hint="eastAsia"/>
        <w:lang w:val="en-US" w:eastAsia="zh-CN"/>
      </w:rPr>
      <w:t xml:space="preserve">                                                   APJ-（赣）-002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B86D8B">
    <w:pPr>
      <w:pStyle w:val="13"/>
      <w:pBdr>
        <w:top w:val="single" w:color="auto" w:sz="4" w:space="0"/>
      </w:pBdr>
      <w:ind w:left="0" w:leftChars="0" w:firstLine="0" w:firstLineChars="0"/>
      <w:rPr>
        <w:rFonts w:hint="default" w:eastAsia="宋体"/>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1EE294">
                          <w:pPr>
                            <w:pStyle w:val="1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7C1EE294">
                    <w:pPr>
                      <w:pStyle w:val="13"/>
                    </w:pPr>
                    <w:r>
                      <w:fldChar w:fldCharType="begin"/>
                    </w:r>
                    <w:r>
                      <w:instrText xml:space="preserve"> PAGE  \* MERGEFORMAT </w:instrText>
                    </w:r>
                    <w:r>
                      <w:fldChar w:fldCharType="separate"/>
                    </w:r>
                    <w:r>
                      <w:t>7</w:t>
                    </w:r>
                    <w:r>
                      <w:fldChar w:fldCharType="end"/>
                    </w:r>
                  </w:p>
                </w:txbxContent>
              </v:textbox>
            </v:shape>
          </w:pict>
        </mc:Fallback>
      </mc:AlternateContent>
    </w:r>
    <w:r>
      <w:rPr>
        <w:rFonts w:hint="eastAsia"/>
      </w:rPr>
      <w:t>江西赣安安全生产科学技术咨询服务中心</w:t>
    </w:r>
    <w:r>
      <w:rPr>
        <w:rFonts w:hint="eastAsia"/>
        <w:lang w:val="en-US" w:eastAsia="zh-CN"/>
      </w:rPr>
      <w:t xml:space="preserve">                                                   APJ-（赣）-002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B90933">
    <w:pPr>
      <w:pStyle w:val="14"/>
      <w:ind w:left="0" w:leftChars="0" w:firstLine="0" w:firstLineChars="0"/>
      <w:jc w:val="left"/>
      <w:rPr>
        <w:sz w:val="16"/>
        <w:szCs w:val="16"/>
      </w:rPr>
    </w:pPr>
    <w:r>
      <w:rPr>
        <w:rFonts w:hint="eastAsia"/>
        <w:sz w:val="16"/>
        <w:szCs w:val="16"/>
      </w:rPr>
      <w:t>江西省宜丰万国矿业有限公司铜铁选矿厂技改工程（新建内部加油站项目）安全</w:t>
    </w:r>
    <w:r>
      <w:rPr>
        <w:rFonts w:hint="eastAsia"/>
        <w:sz w:val="16"/>
        <w:szCs w:val="16"/>
        <w:lang w:val="en-US" w:eastAsia="zh-CN"/>
      </w:rPr>
      <w:t>验收</w:t>
    </w:r>
    <w:r>
      <w:rPr>
        <w:rFonts w:hint="eastAsia"/>
        <w:sz w:val="16"/>
        <w:szCs w:val="16"/>
      </w:rPr>
      <w:t>评价报告</w:t>
    </w:r>
    <w:r>
      <w:rPr>
        <w:rFonts w:hint="eastAsia"/>
        <w:sz w:val="16"/>
        <w:szCs w:val="16"/>
        <w:lang w:val="en-US" w:eastAsia="zh-CN"/>
      </w:rPr>
      <w:t xml:space="preserve">           </w:t>
    </w:r>
    <w:r>
      <w:rPr>
        <w:rFonts w:hint="default" w:ascii="Times New Roman" w:hAnsi="Times New Roman" w:cs="Times New Roman"/>
        <w:sz w:val="16"/>
        <w:szCs w:val="16"/>
      </w:rPr>
      <w:t xml:space="preserve"> GAAP</w:t>
    </w:r>
    <w:r>
      <w:rPr>
        <w:rFonts w:hint="eastAsia" w:ascii="微软雅黑" w:hAnsi="Times New Roman" w:eastAsia="微软雅黑" w:cs="微软雅黑"/>
        <w:kern w:val="2"/>
        <w:sz w:val="16"/>
        <w:szCs w:val="16"/>
        <w:lang w:val="en-US" w:eastAsia="zh-CN" w:bidi="ar-SA"/>
      </w:rPr>
      <w:t>〔</w:t>
    </w:r>
    <w:r>
      <w:rPr>
        <w:rFonts w:hint="eastAsia" w:ascii="Times New Roman" w:hAnsi="Times New Roman" w:eastAsia="宋体" w:cs="Times New Roman"/>
        <w:kern w:val="2"/>
        <w:sz w:val="16"/>
        <w:szCs w:val="16"/>
        <w:lang w:val="en-US" w:eastAsia="zh-CN" w:bidi="ar-SA"/>
      </w:rPr>
      <w:t>202</w:t>
    </w:r>
    <w:r>
      <w:rPr>
        <w:rFonts w:hint="eastAsia" w:cs="Times New Roman"/>
        <w:kern w:val="2"/>
        <w:sz w:val="16"/>
        <w:szCs w:val="16"/>
        <w:lang w:val="en-US" w:eastAsia="zh-CN" w:bidi="ar-SA"/>
      </w:rPr>
      <w:t>5</w:t>
    </w:r>
    <w:r>
      <w:rPr>
        <w:rFonts w:hint="eastAsia" w:ascii="微软雅黑" w:hAnsi="Times New Roman" w:eastAsia="微软雅黑" w:cs="微软雅黑"/>
        <w:kern w:val="2"/>
        <w:sz w:val="16"/>
        <w:szCs w:val="16"/>
        <w:lang w:val="en-US" w:eastAsia="zh-CN" w:bidi="ar-SA"/>
      </w:rPr>
      <w:t>〕</w:t>
    </w:r>
    <w:r>
      <w:rPr>
        <w:rFonts w:hint="eastAsia" w:cs="Times New Roman"/>
        <w:sz w:val="16"/>
        <w:szCs w:val="16"/>
        <w:lang w:val="en-US" w:eastAsia="zh-CN"/>
      </w:rPr>
      <w:t>0643</w:t>
    </w:r>
    <w:r>
      <w:rPr>
        <w:rFonts w:hint="default" w:ascii="Times New Roman" w:hAnsi="Times New Roman" w:cs="Times New Roman"/>
        <w:sz w:val="16"/>
        <w:szCs w:val="16"/>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D9AD0E"/>
    <w:multiLevelType w:val="singleLevel"/>
    <w:tmpl w:val="ABD9AD0E"/>
    <w:lvl w:ilvl="0" w:tentative="0">
      <w:start w:val="1"/>
      <w:numFmt w:val="decimal"/>
      <w:suff w:val="nothing"/>
      <w:lvlText w:val="%1、"/>
      <w:lvlJc w:val="left"/>
    </w:lvl>
  </w:abstractNum>
  <w:abstractNum w:abstractNumId="1">
    <w:nsid w:val="301C35A8"/>
    <w:multiLevelType w:val="singleLevel"/>
    <w:tmpl w:val="301C35A8"/>
    <w:lvl w:ilvl="0" w:tentative="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YWUxNGNmMmUyZTIxY2FmM2YyMWFiMjM3Y2U3MzAifQ=="/>
  </w:docVars>
  <w:rsids>
    <w:rsidRoot w:val="00000000"/>
    <w:rsid w:val="005C6C6E"/>
    <w:rsid w:val="00A94756"/>
    <w:rsid w:val="00C91C98"/>
    <w:rsid w:val="00DE185F"/>
    <w:rsid w:val="0103164E"/>
    <w:rsid w:val="010D7DD7"/>
    <w:rsid w:val="01371F49"/>
    <w:rsid w:val="0155716D"/>
    <w:rsid w:val="01562017"/>
    <w:rsid w:val="01AD6BD8"/>
    <w:rsid w:val="02005B8D"/>
    <w:rsid w:val="02106ABC"/>
    <w:rsid w:val="02283016"/>
    <w:rsid w:val="02290253"/>
    <w:rsid w:val="024F4BCA"/>
    <w:rsid w:val="025B142F"/>
    <w:rsid w:val="027B1CEE"/>
    <w:rsid w:val="02836ED2"/>
    <w:rsid w:val="02852286"/>
    <w:rsid w:val="028E0926"/>
    <w:rsid w:val="02967F59"/>
    <w:rsid w:val="03126EE3"/>
    <w:rsid w:val="03271EEF"/>
    <w:rsid w:val="03435D32"/>
    <w:rsid w:val="03546191"/>
    <w:rsid w:val="03BB7FBE"/>
    <w:rsid w:val="03CA1FAF"/>
    <w:rsid w:val="03DE20F3"/>
    <w:rsid w:val="04073203"/>
    <w:rsid w:val="042C18CE"/>
    <w:rsid w:val="045B71F9"/>
    <w:rsid w:val="045D1075"/>
    <w:rsid w:val="045F303F"/>
    <w:rsid w:val="04731B5B"/>
    <w:rsid w:val="047E3532"/>
    <w:rsid w:val="04B93E88"/>
    <w:rsid w:val="05366B04"/>
    <w:rsid w:val="053B7F7E"/>
    <w:rsid w:val="05476ED2"/>
    <w:rsid w:val="057B0FFA"/>
    <w:rsid w:val="059C3C80"/>
    <w:rsid w:val="05C173E2"/>
    <w:rsid w:val="063876A4"/>
    <w:rsid w:val="067D77AC"/>
    <w:rsid w:val="0716248D"/>
    <w:rsid w:val="07283BBC"/>
    <w:rsid w:val="075F6EB2"/>
    <w:rsid w:val="078F7797"/>
    <w:rsid w:val="07CB6E4B"/>
    <w:rsid w:val="07E618D5"/>
    <w:rsid w:val="07E86EA8"/>
    <w:rsid w:val="07F12B74"/>
    <w:rsid w:val="07FD72FC"/>
    <w:rsid w:val="080C703A"/>
    <w:rsid w:val="08456F9D"/>
    <w:rsid w:val="08836BD0"/>
    <w:rsid w:val="08B70A65"/>
    <w:rsid w:val="08E12697"/>
    <w:rsid w:val="08F32F05"/>
    <w:rsid w:val="09736C45"/>
    <w:rsid w:val="09A27895"/>
    <w:rsid w:val="0A015732"/>
    <w:rsid w:val="0A0B50CF"/>
    <w:rsid w:val="0B224422"/>
    <w:rsid w:val="0B4C7FEF"/>
    <w:rsid w:val="0B891F50"/>
    <w:rsid w:val="0C6E1BD7"/>
    <w:rsid w:val="0D36577E"/>
    <w:rsid w:val="0D3C2711"/>
    <w:rsid w:val="0D3F0613"/>
    <w:rsid w:val="0D417485"/>
    <w:rsid w:val="0D611BD6"/>
    <w:rsid w:val="0DCE4EE9"/>
    <w:rsid w:val="0DDE3227"/>
    <w:rsid w:val="0DE545B5"/>
    <w:rsid w:val="0DE92945"/>
    <w:rsid w:val="0EAE5D0B"/>
    <w:rsid w:val="0EE4067B"/>
    <w:rsid w:val="0F19203C"/>
    <w:rsid w:val="0F2C7D97"/>
    <w:rsid w:val="0F317370"/>
    <w:rsid w:val="0F5F0397"/>
    <w:rsid w:val="0F667927"/>
    <w:rsid w:val="0F8876CA"/>
    <w:rsid w:val="0F98675A"/>
    <w:rsid w:val="0FFC1742"/>
    <w:rsid w:val="100106CE"/>
    <w:rsid w:val="100D48FD"/>
    <w:rsid w:val="10480E2B"/>
    <w:rsid w:val="10827BCC"/>
    <w:rsid w:val="10A404D8"/>
    <w:rsid w:val="11360C84"/>
    <w:rsid w:val="11586E4C"/>
    <w:rsid w:val="115C19F5"/>
    <w:rsid w:val="116E48C1"/>
    <w:rsid w:val="11A7392F"/>
    <w:rsid w:val="11C95F9C"/>
    <w:rsid w:val="11D54941"/>
    <w:rsid w:val="12303925"/>
    <w:rsid w:val="126258E7"/>
    <w:rsid w:val="12753A2E"/>
    <w:rsid w:val="12C60FED"/>
    <w:rsid w:val="12DA75C2"/>
    <w:rsid w:val="1325541B"/>
    <w:rsid w:val="13350988"/>
    <w:rsid w:val="134F34D0"/>
    <w:rsid w:val="136647C4"/>
    <w:rsid w:val="13E70C2E"/>
    <w:rsid w:val="142D3A1C"/>
    <w:rsid w:val="145439BE"/>
    <w:rsid w:val="14596B6E"/>
    <w:rsid w:val="14890557"/>
    <w:rsid w:val="14913DAE"/>
    <w:rsid w:val="14D33A41"/>
    <w:rsid w:val="14FB646C"/>
    <w:rsid w:val="15234043"/>
    <w:rsid w:val="1533356A"/>
    <w:rsid w:val="15362A79"/>
    <w:rsid w:val="155D1958"/>
    <w:rsid w:val="15E80BB8"/>
    <w:rsid w:val="1719707D"/>
    <w:rsid w:val="17214184"/>
    <w:rsid w:val="177034A9"/>
    <w:rsid w:val="17814EBE"/>
    <w:rsid w:val="17D17BE5"/>
    <w:rsid w:val="17E728EB"/>
    <w:rsid w:val="17EF7DDE"/>
    <w:rsid w:val="17F263D6"/>
    <w:rsid w:val="188449CB"/>
    <w:rsid w:val="18A22B9C"/>
    <w:rsid w:val="18EA221C"/>
    <w:rsid w:val="19137AFC"/>
    <w:rsid w:val="191F4337"/>
    <w:rsid w:val="196056B2"/>
    <w:rsid w:val="19946E8F"/>
    <w:rsid w:val="19AC41D9"/>
    <w:rsid w:val="19B16915"/>
    <w:rsid w:val="1A6C5932"/>
    <w:rsid w:val="1AFE41A2"/>
    <w:rsid w:val="1B034A5E"/>
    <w:rsid w:val="1B041884"/>
    <w:rsid w:val="1B356450"/>
    <w:rsid w:val="1B4723FE"/>
    <w:rsid w:val="1B530684"/>
    <w:rsid w:val="1BD16179"/>
    <w:rsid w:val="1BEC5A46"/>
    <w:rsid w:val="1C312FB0"/>
    <w:rsid w:val="1C6922AF"/>
    <w:rsid w:val="1C7A0F4E"/>
    <w:rsid w:val="1CAC2742"/>
    <w:rsid w:val="1CF914BF"/>
    <w:rsid w:val="1D3474BE"/>
    <w:rsid w:val="1D64530A"/>
    <w:rsid w:val="1E2223FC"/>
    <w:rsid w:val="1E311151"/>
    <w:rsid w:val="1EDF0A76"/>
    <w:rsid w:val="1EEB7551"/>
    <w:rsid w:val="1F260691"/>
    <w:rsid w:val="1F3E55C8"/>
    <w:rsid w:val="1F78690B"/>
    <w:rsid w:val="1FAE738C"/>
    <w:rsid w:val="1FC16504"/>
    <w:rsid w:val="2077630A"/>
    <w:rsid w:val="20901CE0"/>
    <w:rsid w:val="20994D8B"/>
    <w:rsid w:val="21140CED"/>
    <w:rsid w:val="211A595D"/>
    <w:rsid w:val="213D764D"/>
    <w:rsid w:val="21BA0FE9"/>
    <w:rsid w:val="21C1459A"/>
    <w:rsid w:val="22266AF2"/>
    <w:rsid w:val="22356D36"/>
    <w:rsid w:val="228A6ABE"/>
    <w:rsid w:val="22A44DAF"/>
    <w:rsid w:val="22C34341"/>
    <w:rsid w:val="22D24D60"/>
    <w:rsid w:val="22D622C7"/>
    <w:rsid w:val="22DB168B"/>
    <w:rsid w:val="23290CD7"/>
    <w:rsid w:val="233D2CBA"/>
    <w:rsid w:val="235853C4"/>
    <w:rsid w:val="236C162A"/>
    <w:rsid w:val="23A83C63"/>
    <w:rsid w:val="23E5611D"/>
    <w:rsid w:val="24066BDB"/>
    <w:rsid w:val="24373239"/>
    <w:rsid w:val="247973AD"/>
    <w:rsid w:val="247E2C16"/>
    <w:rsid w:val="248F097F"/>
    <w:rsid w:val="24C04FDC"/>
    <w:rsid w:val="24F42C41"/>
    <w:rsid w:val="25097693"/>
    <w:rsid w:val="259A3A7F"/>
    <w:rsid w:val="25A920F9"/>
    <w:rsid w:val="26722306"/>
    <w:rsid w:val="267E6EFD"/>
    <w:rsid w:val="268D5D4F"/>
    <w:rsid w:val="26991759"/>
    <w:rsid w:val="2712017D"/>
    <w:rsid w:val="272D447F"/>
    <w:rsid w:val="275714EA"/>
    <w:rsid w:val="277C3B5C"/>
    <w:rsid w:val="27932534"/>
    <w:rsid w:val="27D757D3"/>
    <w:rsid w:val="27EB05C2"/>
    <w:rsid w:val="280671AA"/>
    <w:rsid w:val="282D2989"/>
    <w:rsid w:val="28D01566"/>
    <w:rsid w:val="290F39F9"/>
    <w:rsid w:val="291353A0"/>
    <w:rsid w:val="29231FDE"/>
    <w:rsid w:val="292D6E86"/>
    <w:rsid w:val="294C6E3F"/>
    <w:rsid w:val="295D34AF"/>
    <w:rsid w:val="29622B06"/>
    <w:rsid w:val="296353E8"/>
    <w:rsid w:val="299936DC"/>
    <w:rsid w:val="29F36060"/>
    <w:rsid w:val="29F70EFE"/>
    <w:rsid w:val="2A314E31"/>
    <w:rsid w:val="2AFF09D7"/>
    <w:rsid w:val="2B0F45C8"/>
    <w:rsid w:val="2B260BDC"/>
    <w:rsid w:val="2B3B360F"/>
    <w:rsid w:val="2B466DB9"/>
    <w:rsid w:val="2BAA42F0"/>
    <w:rsid w:val="2BB64989"/>
    <w:rsid w:val="2BF35C97"/>
    <w:rsid w:val="2CF47F19"/>
    <w:rsid w:val="2CFD1020"/>
    <w:rsid w:val="2D1A7254"/>
    <w:rsid w:val="2D4E798A"/>
    <w:rsid w:val="2D7925F4"/>
    <w:rsid w:val="2D7C1CBC"/>
    <w:rsid w:val="2D853E99"/>
    <w:rsid w:val="2D8D4A0A"/>
    <w:rsid w:val="2D97415D"/>
    <w:rsid w:val="2DBA7A28"/>
    <w:rsid w:val="2DC86CB0"/>
    <w:rsid w:val="2DE07A74"/>
    <w:rsid w:val="2E664D9E"/>
    <w:rsid w:val="2EB24CE0"/>
    <w:rsid w:val="2EBB2CB1"/>
    <w:rsid w:val="2F102B9E"/>
    <w:rsid w:val="2F206A1F"/>
    <w:rsid w:val="2F2F348A"/>
    <w:rsid w:val="2F3758E4"/>
    <w:rsid w:val="2F416D1A"/>
    <w:rsid w:val="2F9477B0"/>
    <w:rsid w:val="2FA21756"/>
    <w:rsid w:val="301628A9"/>
    <w:rsid w:val="303A2E5F"/>
    <w:rsid w:val="30C94C38"/>
    <w:rsid w:val="310221B1"/>
    <w:rsid w:val="312C75C4"/>
    <w:rsid w:val="314422DD"/>
    <w:rsid w:val="314F5A38"/>
    <w:rsid w:val="31697D37"/>
    <w:rsid w:val="318F0210"/>
    <w:rsid w:val="31AA0C0A"/>
    <w:rsid w:val="31BB2DB3"/>
    <w:rsid w:val="31E57E30"/>
    <w:rsid w:val="31F2146B"/>
    <w:rsid w:val="325011E8"/>
    <w:rsid w:val="326055F9"/>
    <w:rsid w:val="32802058"/>
    <w:rsid w:val="328A6C2A"/>
    <w:rsid w:val="328F5FEE"/>
    <w:rsid w:val="329F26D5"/>
    <w:rsid w:val="32DE21FE"/>
    <w:rsid w:val="32EB35B4"/>
    <w:rsid w:val="33222CB9"/>
    <w:rsid w:val="33550FE6"/>
    <w:rsid w:val="33850774"/>
    <w:rsid w:val="33880D03"/>
    <w:rsid w:val="33B8412C"/>
    <w:rsid w:val="33BC4648"/>
    <w:rsid w:val="33D12052"/>
    <w:rsid w:val="33D22636"/>
    <w:rsid w:val="349831C4"/>
    <w:rsid w:val="35366BF5"/>
    <w:rsid w:val="353F360F"/>
    <w:rsid w:val="358018DD"/>
    <w:rsid w:val="35926521"/>
    <w:rsid w:val="35B73417"/>
    <w:rsid w:val="35B94231"/>
    <w:rsid w:val="35E623C9"/>
    <w:rsid w:val="363F7524"/>
    <w:rsid w:val="36A04C6E"/>
    <w:rsid w:val="36A61BFF"/>
    <w:rsid w:val="36D10B7D"/>
    <w:rsid w:val="36F57279"/>
    <w:rsid w:val="371649C0"/>
    <w:rsid w:val="37272C99"/>
    <w:rsid w:val="37375D11"/>
    <w:rsid w:val="3787198A"/>
    <w:rsid w:val="37A54D91"/>
    <w:rsid w:val="37BA58BB"/>
    <w:rsid w:val="37DB610F"/>
    <w:rsid w:val="37DE146E"/>
    <w:rsid w:val="38344F41"/>
    <w:rsid w:val="384120F7"/>
    <w:rsid w:val="386B37E8"/>
    <w:rsid w:val="38782491"/>
    <w:rsid w:val="38FC4B7C"/>
    <w:rsid w:val="390F1C37"/>
    <w:rsid w:val="39111E53"/>
    <w:rsid w:val="392E47B3"/>
    <w:rsid w:val="393022D9"/>
    <w:rsid w:val="39382F3B"/>
    <w:rsid w:val="397D3044"/>
    <w:rsid w:val="39B0341A"/>
    <w:rsid w:val="39C43F44"/>
    <w:rsid w:val="39E20DF5"/>
    <w:rsid w:val="3A63223A"/>
    <w:rsid w:val="3A834A05"/>
    <w:rsid w:val="3A9643BE"/>
    <w:rsid w:val="3AAC1E33"/>
    <w:rsid w:val="3AC76C6D"/>
    <w:rsid w:val="3B0A24EB"/>
    <w:rsid w:val="3B0E11B9"/>
    <w:rsid w:val="3B1D002D"/>
    <w:rsid w:val="3B712735"/>
    <w:rsid w:val="3B914B85"/>
    <w:rsid w:val="3BA82BFD"/>
    <w:rsid w:val="3C073099"/>
    <w:rsid w:val="3C1A742D"/>
    <w:rsid w:val="3C791EFD"/>
    <w:rsid w:val="3C8203BB"/>
    <w:rsid w:val="3C9A0A83"/>
    <w:rsid w:val="3CA56E5C"/>
    <w:rsid w:val="3CB4251D"/>
    <w:rsid w:val="3D493F35"/>
    <w:rsid w:val="3D6F4035"/>
    <w:rsid w:val="3D9B618F"/>
    <w:rsid w:val="3DAC3EF8"/>
    <w:rsid w:val="3DFE1528"/>
    <w:rsid w:val="3E495BEB"/>
    <w:rsid w:val="3E650AC7"/>
    <w:rsid w:val="3E6850E9"/>
    <w:rsid w:val="3E802591"/>
    <w:rsid w:val="3E8417B1"/>
    <w:rsid w:val="3F481E53"/>
    <w:rsid w:val="3F4D5963"/>
    <w:rsid w:val="3F7603DF"/>
    <w:rsid w:val="3F762A0F"/>
    <w:rsid w:val="3F7A065F"/>
    <w:rsid w:val="3FE730FF"/>
    <w:rsid w:val="407927B7"/>
    <w:rsid w:val="409F2538"/>
    <w:rsid w:val="40E52248"/>
    <w:rsid w:val="41465972"/>
    <w:rsid w:val="42255D7C"/>
    <w:rsid w:val="42405D96"/>
    <w:rsid w:val="427A1F06"/>
    <w:rsid w:val="4283791D"/>
    <w:rsid w:val="42EA174A"/>
    <w:rsid w:val="433125CD"/>
    <w:rsid w:val="433C007A"/>
    <w:rsid w:val="43C2293A"/>
    <w:rsid w:val="43E87689"/>
    <w:rsid w:val="440B6BE2"/>
    <w:rsid w:val="445B38A4"/>
    <w:rsid w:val="44BC28D1"/>
    <w:rsid w:val="44BF6C07"/>
    <w:rsid w:val="450B2EEB"/>
    <w:rsid w:val="45357D20"/>
    <w:rsid w:val="457B1309"/>
    <w:rsid w:val="459C0545"/>
    <w:rsid w:val="45AE3109"/>
    <w:rsid w:val="45B74BFB"/>
    <w:rsid w:val="45C45BA1"/>
    <w:rsid w:val="45D81278"/>
    <w:rsid w:val="4629258A"/>
    <w:rsid w:val="463B050F"/>
    <w:rsid w:val="46584C1D"/>
    <w:rsid w:val="46A41C10"/>
    <w:rsid w:val="46AE7B45"/>
    <w:rsid w:val="46C6725C"/>
    <w:rsid w:val="47372A84"/>
    <w:rsid w:val="474A5F7A"/>
    <w:rsid w:val="47586573"/>
    <w:rsid w:val="47B16CDB"/>
    <w:rsid w:val="483B143E"/>
    <w:rsid w:val="483E2E8C"/>
    <w:rsid w:val="48484E0B"/>
    <w:rsid w:val="48594C7C"/>
    <w:rsid w:val="485F64E4"/>
    <w:rsid w:val="48B3355A"/>
    <w:rsid w:val="48EF0574"/>
    <w:rsid w:val="49003905"/>
    <w:rsid w:val="493A5655"/>
    <w:rsid w:val="496C5710"/>
    <w:rsid w:val="49AF2C61"/>
    <w:rsid w:val="49B17A19"/>
    <w:rsid w:val="49CF45A0"/>
    <w:rsid w:val="4A176B9D"/>
    <w:rsid w:val="4A3C1AFC"/>
    <w:rsid w:val="4A425D44"/>
    <w:rsid w:val="4AB935C3"/>
    <w:rsid w:val="4BE74CD7"/>
    <w:rsid w:val="4BF4363A"/>
    <w:rsid w:val="4C636ED9"/>
    <w:rsid w:val="4CAD5597"/>
    <w:rsid w:val="4CD751A0"/>
    <w:rsid w:val="4D111FCA"/>
    <w:rsid w:val="4D7C3730"/>
    <w:rsid w:val="4DA621CD"/>
    <w:rsid w:val="4DD54DA5"/>
    <w:rsid w:val="4DE35714"/>
    <w:rsid w:val="4E013DEC"/>
    <w:rsid w:val="4E173AED"/>
    <w:rsid w:val="4E920EE8"/>
    <w:rsid w:val="4FBD0166"/>
    <w:rsid w:val="4FE47521"/>
    <w:rsid w:val="50257C71"/>
    <w:rsid w:val="50267B3A"/>
    <w:rsid w:val="50993895"/>
    <w:rsid w:val="50D457E8"/>
    <w:rsid w:val="50DC4C8A"/>
    <w:rsid w:val="51120B54"/>
    <w:rsid w:val="51DA56D9"/>
    <w:rsid w:val="521479BD"/>
    <w:rsid w:val="523572D3"/>
    <w:rsid w:val="52630BD1"/>
    <w:rsid w:val="528A0C2E"/>
    <w:rsid w:val="52B16933"/>
    <w:rsid w:val="52C048E9"/>
    <w:rsid w:val="52C27FEE"/>
    <w:rsid w:val="52E52E06"/>
    <w:rsid w:val="53065EB5"/>
    <w:rsid w:val="53376114"/>
    <w:rsid w:val="534F73A8"/>
    <w:rsid w:val="53C102A5"/>
    <w:rsid w:val="54501629"/>
    <w:rsid w:val="549E05E7"/>
    <w:rsid w:val="54AF45A2"/>
    <w:rsid w:val="54C7713E"/>
    <w:rsid w:val="551A2274"/>
    <w:rsid w:val="552079AD"/>
    <w:rsid w:val="55865E7A"/>
    <w:rsid w:val="55990DAE"/>
    <w:rsid w:val="559A49F3"/>
    <w:rsid w:val="55AD03B6"/>
    <w:rsid w:val="565926F8"/>
    <w:rsid w:val="56947B58"/>
    <w:rsid w:val="56993CA8"/>
    <w:rsid w:val="569A4893"/>
    <w:rsid w:val="56DE12A0"/>
    <w:rsid w:val="570F0CE3"/>
    <w:rsid w:val="57364B06"/>
    <w:rsid w:val="57640800"/>
    <w:rsid w:val="58491124"/>
    <w:rsid w:val="589870FB"/>
    <w:rsid w:val="58DC50C4"/>
    <w:rsid w:val="58FA06F3"/>
    <w:rsid w:val="59037050"/>
    <w:rsid w:val="593257A1"/>
    <w:rsid w:val="59716137"/>
    <w:rsid w:val="597C6A1D"/>
    <w:rsid w:val="599A323A"/>
    <w:rsid w:val="59FD5D36"/>
    <w:rsid w:val="5A0507C0"/>
    <w:rsid w:val="5A106D9C"/>
    <w:rsid w:val="5A1153B7"/>
    <w:rsid w:val="5A5055AA"/>
    <w:rsid w:val="5A645887"/>
    <w:rsid w:val="5AE66844"/>
    <w:rsid w:val="5B3550D5"/>
    <w:rsid w:val="5B4B66A7"/>
    <w:rsid w:val="5B9C6F02"/>
    <w:rsid w:val="5BA31F6D"/>
    <w:rsid w:val="5C5140C9"/>
    <w:rsid w:val="5CBC2E8A"/>
    <w:rsid w:val="5D984E39"/>
    <w:rsid w:val="5DDE3802"/>
    <w:rsid w:val="5DE3706A"/>
    <w:rsid w:val="5E256920"/>
    <w:rsid w:val="5E8A707B"/>
    <w:rsid w:val="5E951201"/>
    <w:rsid w:val="5ECC3F6D"/>
    <w:rsid w:val="5EF977B3"/>
    <w:rsid w:val="5F665FE7"/>
    <w:rsid w:val="5F702B80"/>
    <w:rsid w:val="5F737229"/>
    <w:rsid w:val="5F7E172D"/>
    <w:rsid w:val="60465003"/>
    <w:rsid w:val="60534318"/>
    <w:rsid w:val="607D02FE"/>
    <w:rsid w:val="60C63C94"/>
    <w:rsid w:val="613B4FD5"/>
    <w:rsid w:val="6142054C"/>
    <w:rsid w:val="61555693"/>
    <w:rsid w:val="617565F6"/>
    <w:rsid w:val="617A7C83"/>
    <w:rsid w:val="6284597A"/>
    <w:rsid w:val="628F5D29"/>
    <w:rsid w:val="62A414BE"/>
    <w:rsid w:val="62C56E45"/>
    <w:rsid w:val="62D40D1A"/>
    <w:rsid w:val="634632A4"/>
    <w:rsid w:val="63763A5F"/>
    <w:rsid w:val="63807109"/>
    <w:rsid w:val="63810D24"/>
    <w:rsid w:val="64320A70"/>
    <w:rsid w:val="645077CF"/>
    <w:rsid w:val="64532812"/>
    <w:rsid w:val="64780290"/>
    <w:rsid w:val="64B17EC2"/>
    <w:rsid w:val="64BF2297"/>
    <w:rsid w:val="65261E33"/>
    <w:rsid w:val="654A3ABB"/>
    <w:rsid w:val="65613696"/>
    <w:rsid w:val="6589396E"/>
    <w:rsid w:val="66042274"/>
    <w:rsid w:val="666A0329"/>
    <w:rsid w:val="667A530E"/>
    <w:rsid w:val="667C005C"/>
    <w:rsid w:val="66ED0F5A"/>
    <w:rsid w:val="670E424D"/>
    <w:rsid w:val="67144738"/>
    <w:rsid w:val="67177D85"/>
    <w:rsid w:val="67191D4F"/>
    <w:rsid w:val="671B39FF"/>
    <w:rsid w:val="671C049D"/>
    <w:rsid w:val="678E44EB"/>
    <w:rsid w:val="68324E76"/>
    <w:rsid w:val="6841330B"/>
    <w:rsid w:val="68560FB0"/>
    <w:rsid w:val="6875755D"/>
    <w:rsid w:val="68DD5B96"/>
    <w:rsid w:val="69126A56"/>
    <w:rsid w:val="693D7F76"/>
    <w:rsid w:val="69643755"/>
    <w:rsid w:val="69981651"/>
    <w:rsid w:val="69DA57C5"/>
    <w:rsid w:val="69F05A5E"/>
    <w:rsid w:val="6A2627B9"/>
    <w:rsid w:val="6A2716C9"/>
    <w:rsid w:val="6A610B11"/>
    <w:rsid w:val="6A6A173C"/>
    <w:rsid w:val="6A794FDE"/>
    <w:rsid w:val="6AA60986"/>
    <w:rsid w:val="6AAB0F10"/>
    <w:rsid w:val="6AB57FE0"/>
    <w:rsid w:val="6AE84A72"/>
    <w:rsid w:val="6B1B3F84"/>
    <w:rsid w:val="6B4E7EEE"/>
    <w:rsid w:val="6BDA3F4C"/>
    <w:rsid w:val="6C465F32"/>
    <w:rsid w:val="6C703149"/>
    <w:rsid w:val="6C846764"/>
    <w:rsid w:val="6CA200F0"/>
    <w:rsid w:val="6CB57E24"/>
    <w:rsid w:val="6CFE3B02"/>
    <w:rsid w:val="6D23521A"/>
    <w:rsid w:val="6D437B25"/>
    <w:rsid w:val="6D88670D"/>
    <w:rsid w:val="6DE309C1"/>
    <w:rsid w:val="6E4B4D39"/>
    <w:rsid w:val="6EA405A9"/>
    <w:rsid w:val="6EC16F54"/>
    <w:rsid w:val="6F0E31FF"/>
    <w:rsid w:val="6F265009"/>
    <w:rsid w:val="6F834209"/>
    <w:rsid w:val="6F9E3748"/>
    <w:rsid w:val="70194B6E"/>
    <w:rsid w:val="70390D6C"/>
    <w:rsid w:val="70981F36"/>
    <w:rsid w:val="70A11939"/>
    <w:rsid w:val="70FB773A"/>
    <w:rsid w:val="7116481E"/>
    <w:rsid w:val="71421785"/>
    <w:rsid w:val="7158574F"/>
    <w:rsid w:val="7180259E"/>
    <w:rsid w:val="721253F9"/>
    <w:rsid w:val="722578E9"/>
    <w:rsid w:val="727708BC"/>
    <w:rsid w:val="72B54101"/>
    <w:rsid w:val="72CC5EC7"/>
    <w:rsid w:val="7313528F"/>
    <w:rsid w:val="7314591F"/>
    <w:rsid w:val="733C509D"/>
    <w:rsid w:val="73972979"/>
    <w:rsid w:val="739A6724"/>
    <w:rsid w:val="74237D69"/>
    <w:rsid w:val="74A626EA"/>
    <w:rsid w:val="75023E22"/>
    <w:rsid w:val="751C19A2"/>
    <w:rsid w:val="756747A2"/>
    <w:rsid w:val="75734190"/>
    <w:rsid w:val="75A7382D"/>
    <w:rsid w:val="7625426C"/>
    <w:rsid w:val="762C373B"/>
    <w:rsid w:val="774B589A"/>
    <w:rsid w:val="77843214"/>
    <w:rsid w:val="77B5517C"/>
    <w:rsid w:val="77C47A53"/>
    <w:rsid w:val="77D74F78"/>
    <w:rsid w:val="77EA5801"/>
    <w:rsid w:val="781708A1"/>
    <w:rsid w:val="785962C1"/>
    <w:rsid w:val="78832BF4"/>
    <w:rsid w:val="789E0A66"/>
    <w:rsid w:val="78B00F4C"/>
    <w:rsid w:val="791F1447"/>
    <w:rsid w:val="795D5ACB"/>
    <w:rsid w:val="79AE6327"/>
    <w:rsid w:val="7A3507F6"/>
    <w:rsid w:val="7A4822D7"/>
    <w:rsid w:val="7A925C48"/>
    <w:rsid w:val="7ABA6A60"/>
    <w:rsid w:val="7B1440DE"/>
    <w:rsid w:val="7B3343CE"/>
    <w:rsid w:val="7B4968BF"/>
    <w:rsid w:val="7BA93985"/>
    <w:rsid w:val="7BAD67CA"/>
    <w:rsid w:val="7BDD225D"/>
    <w:rsid w:val="7C914A80"/>
    <w:rsid w:val="7CF956A6"/>
    <w:rsid w:val="7DCC0D4A"/>
    <w:rsid w:val="7E05426C"/>
    <w:rsid w:val="7E3A287F"/>
    <w:rsid w:val="7E696CC0"/>
    <w:rsid w:val="7EF85C16"/>
    <w:rsid w:val="7EF91DDE"/>
    <w:rsid w:val="7F0240C9"/>
    <w:rsid w:val="7F4C4618"/>
    <w:rsid w:val="7FD308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883" w:firstLineChars="200"/>
      <w:jc w:val="both"/>
    </w:pPr>
    <w:rPr>
      <w:rFonts w:ascii="Times New Roman" w:hAnsi="Times New Roman" w:eastAsia="宋体" w:cs="Times New Roman"/>
      <w:kern w:val="2"/>
      <w:sz w:val="28"/>
      <w:szCs w:val="24"/>
      <w:lang w:val="en-US" w:eastAsia="zh-CN" w:bidi="ar-SA"/>
    </w:rPr>
  </w:style>
  <w:style w:type="paragraph" w:styleId="2">
    <w:name w:val="heading 1"/>
    <w:basedOn w:val="1"/>
    <w:next w:val="1"/>
    <w:link w:val="29"/>
    <w:autoRedefine/>
    <w:qFormat/>
    <w:uiPriority w:val="0"/>
    <w:pPr>
      <w:keepNext/>
      <w:keepLines/>
      <w:spacing w:beforeLines="0" w:beforeAutospacing="0" w:afterLines="0" w:afterAutospacing="0" w:line="360" w:lineRule="auto"/>
      <w:ind w:left="0" w:leftChars="0" w:firstLine="0" w:firstLineChars="0"/>
      <w:jc w:val="center"/>
      <w:outlineLvl w:val="0"/>
    </w:pPr>
    <w:rPr>
      <w:rFonts w:ascii="Times New Roman" w:hAnsi="Times New Roman" w:eastAsia="黑体"/>
      <w:b/>
      <w:kern w:val="44"/>
      <w:sz w:val="32"/>
    </w:rPr>
  </w:style>
  <w:style w:type="paragraph" w:styleId="3">
    <w:name w:val="heading 2"/>
    <w:basedOn w:val="1"/>
    <w:next w:val="1"/>
    <w:unhideWhenUsed/>
    <w:qFormat/>
    <w:uiPriority w:val="0"/>
    <w:pPr>
      <w:keepNext/>
      <w:keepLines/>
      <w:spacing w:beforeLines="0" w:beforeAutospacing="0" w:afterLines="0" w:afterAutospacing="0" w:line="360" w:lineRule="auto"/>
      <w:ind w:left="280" w:leftChars="100" w:firstLine="0" w:firstLineChars="0"/>
      <w:outlineLvl w:val="1"/>
    </w:pPr>
    <w:rPr>
      <w:rFonts w:eastAsia="黑体"/>
      <w:b/>
      <w:sz w:val="30"/>
    </w:rPr>
  </w:style>
  <w:style w:type="paragraph" w:styleId="4">
    <w:name w:val="heading 3"/>
    <w:basedOn w:val="1"/>
    <w:next w:val="1"/>
    <w:link w:val="38"/>
    <w:autoRedefine/>
    <w:unhideWhenUsed/>
    <w:qFormat/>
    <w:uiPriority w:val="0"/>
    <w:pPr>
      <w:keepNext/>
      <w:keepLines/>
      <w:spacing w:beforeLines="0" w:beforeAutospacing="0" w:afterLines="0" w:afterAutospacing="0" w:line="360" w:lineRule="auto"/>
      <w:ind w:left="560" w:leftChars="200" w:firstLine="0" w:firstLineChars="0"/>
      <w:outlineLvl w:val="2"/>
    </w:pPr>
    <w:rPr>
      <w:rFonts w:eastAsia="黑体"/>
      <w:b/>
    </w:rPr>
  </w:style>
  <w:style w:type="character" w:default="1" w:styleId="22">
    <w:name w:val="Default Paragraph Font"/>
    <w:autoRedefine/>
    <w:semiHidden/>
    <w:qFormat/>
    <w:uiPriority w:val="0"/>
  </w:style>
  <w:style w:type="table" w:default="1" w:styleId="20">
    <w:name w:val="Normal Table"/>
    <w:autoRedefine/>
    <w:semiHidden/>
    <w:qFormat/>
    <w:uiPriority w:val="0"/>
    <w:tblPr>
      <w:tblCellMar>
        <w:top w:w="0" w:type="dxa"/>
        <w:left w:w="108" w:type="dxa"/>
        <w:bottom w:w="0" w:type="dxa"/>
        <w:right w:w="108" w:type="dxa"/>
      </w:tblCellMar>
    </w:tblPr>
  </w:style>
  <w:style w:type="paragraph" w:styleId="5">
    <w:name w:val="table of authorities"/>
    <w:basedOn w:val="1"/>
    <w:next w:val="1"/>
    <w:autoRedefine/>
    <w:qFormat/>
    <w:uiPriority w:val="0"/>
    <w:pPr>
      <w:ind w:left="420" w:leftChars="200"/>
    </w:pPr>
  </w:style>
  <w:style w:type="paragraph" w:styleId="6">
    <w:name w:val="Normal Indent"/>
    <w:basedOn w:val="1"/>
    <w:next w:val="1"/>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 w:type="paragraph" w:styleId="7">
    <w:name w:val="toa heading"/>
    <w:next w:val="1"/>
    <w:qFormat/>
    <w:uiPriority w:val="0"/>
    <w:pPr>
      <w:widowControl w:val="0"/>
      <w:spacing w:before="120"/>
      <w:jc w:val="both"/>
    </w:pPr>
    <w:rPr>
      <w:rFonts w:ascii="Cambria" w:hAnsi="Cambria" w:eastAsia="宋体" w:cs="Times New Roman"/>
      <w:kern w:val="2"/>
      <w:sz w:val="24"/>
      <w:szCs w:val="24"/>
      <w:lang w:val="en-US" w:eastAsia="zh-CN" w:bidi="ar-SA"/>
    </w:rPr>
  </w:style>
  <w:style w:type="paragraph" w:styleId="8">
    <w:name w:val="annotation text"/>
    <w:basedOn w:val="1"/>
    <w:autoRedefine/>
    <w:qFormat/>
    <w:uiPriority w:val="0"/>
    <w:pPr>
      <w:jc w:val="left"/>
    </w:pPr>
  </w:style>
  <w:style w:type="paragraph" w:styleId="9">
    <w:name w:val="Body Text"/>
    <w:link w:val="41"/>
    <w:autoRedefine/>
    <w:qFormat/>
    <w:uiPriority w:val="0"/>
    <w:pPr>
      <w:widowControl w:val="0"/>
      <w:spacing w:after="120" w:line="360" w:lineRule="auto"/>
      <w:jc w:val="both"/>
    </w:pPr>
    <w:rPr>
      <w:rFonts w:ascii="Times New Roman" w:hAnsi="Times New Roman" w:eastAsia="宋体" w:cs="Times New Roman"/>
      <w:kern w:val="2"/>
      <w:sz w:val="28"/>
      <w:szCs w:val="24"/>
      <w:lang w:val="en-US" w:eastAsia="zh-CN" w:bidi="ar-SA"/>
    </w:rPr>
  </w:style>
  <w:style w:type="paragraph" w:styleId="10">
    <w:name w:val="Body Text Indent"/>
    <w:basedOn w:val="1"/>
    <w:next w:val="6"/>
    <w:qFormat/>
    <w:uiPriority w:val="0"/>
    <w:pPr>
      <w:widowControl w:val="0"/>
      <w:spacing w:after="120" w:afterLines="0"/>
      <w:ind w:left="420" w:leftChars="200"/>
      <w:jc w:val="both"/>
    </w:pPr>
    <w:rPr>
      <w:rFonts w:ascii="Times New Roman" w:hAnsi="Times New Roman" w:eastAsia="宋体" w:cs="Times New Roman"/>
      <w:kern w:val="2"/>
      <w:sz w:val="21"/>
      <w:szCs w:val="24"/>
      <w:lang w:val="en-US" w:eastAsia="zh-CN" w:bidi="ar-SA"/>
    </w:rPr>
  </w:style>
  <w:style w:type="paragraph" w:styleId="11">
    <w:name w:val="toc 3"/>
    <w:basedOn w:val="1"/>
    <w:next w:val="1"/>
    <w:autoRedefine/>
    <w:qFormat/>
    <w:uiPriority w:val="0"/>
    <w:pPr>
      <w:spacing w:line="240" w:lineRule="auto"/>
      <w:ind w:left="840" w:leftChars="400"/>
    </w:pPr>
    <w:rPr>
      <w:rFonts w:ascii="Times New Roman" w:hAnsi="Times New Roman" w:eastAsia="宋体"/>
      <w:sz w:val="21"/>
    </w:rPr>
  </w:style>
  <w:style w:type="paragraph" w:styleId="12">
    <w:name w:val="Plain Text"/>
    <w:basedOn w:val="1"/>
    <w:qFormat/>
    <w:uiPriority w:val="0"/>
    <w:rPr>
      <w:rFonts w:ascii="宋体" w:hAnsi="Courier New"/>
      <w:szCs w:val="21"/>
    </w:rPr>
  </w:style>
  <w:style w:type="paragraph" w:styleId="13">
    <w:name w:val="footer"/>
    <w:basedOn w:val="1"/>
    <w:autoRedefine/>
    <w:qFormat/>
    <w:uiPriority w:val="0"/>
    <w:pPr>
      <w:tabs>
        <w:tab w:val="center" w:pos="4153"/>
        <w:tab w:val="right" w:pos="8306"/>
      </w:tabs>
      <w:snapToGrid w:val="0"/>
      <w:spacing w:line="240" w:lineRule="auto"/>
      <w:jc w:val="left"/>
    </w:pPr>
    <w:rPr>
      <w:sz w:val="18"/>
      <w:szCs w:val="18"/>
    </w:rPr>
  </w:style>
  <w:style w:type="paragraph" w:styleId="14">
    <w:name w:val="header"/>
    <w:basedOn w:val="1"/>
    <w:autoRedefine/>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5">
    <w:name w:val="toc 1"/>
    <w:basedOn w:val="1"/>
    <w:next w:val="1"/>
    <w:autoRedefine/>
    <w:qFormat/>
    <w:uiPriority w:val="0"/>
    <w:pPr>
      <w:tabs>
        <w:tab w:val="right" w:leader="dot" w:pos="9072"/>
      </w:tabs>
      <w:spacing w:line="240" w:lineRule="auto"/>
      <w:ind w:firstLine="0" w:firstLineChars="0"/>
    </w:pPr>
    <w:rPr>
      <w:rFonts w:ascii="Times New Roman" w:hAnsi="Times New Roman" w:eastAsia="宋体"/>
      <w:sz w:val="28"/>
      <w:szCs w:val="21"/>
    </w:rPr>
  </w:style>
  <w:style w:type="paragraph" w:styleId="16">
    <w:name w:val="toc 2"/>
    <w:basedOn w:val="1"/>
    <w:next w:val="1"/>
    <w:autoRedefine/>
    <w:qFormat/>
    <w:uiPriority w:val="0"/>
    <w:pPr>
      <w:spacing w:line="240" w:lineRule="auto"/>
      <w:ind w:left="420" w:leftChars="200" w:firstLine="0" w:firstLineChars="0"/>
    </w:pPr>
    <w:rPr>
      <w:rFonts w:ascii="Times New Roman" w:hAnsi="Times New Roman" w:eastAsia="宋体"/>
      <w:sz w:val="24"/>
    </w:rPr>
  </w:style>
  <w:style w:type="paragraph" w:styleId="17">
    <w:name w:val="Body Text 2"/>
    <w:autoRedefine/>
    <w:qFormat/>
    <w:uiPriority w:val="0"/>
    <w:pPr>
      <w:widowControl w:val="0"/>
      <w:spacing w:after="120" w:line="480" w:lineRule="auto"/>
      <w:jc w:val="both"/>
    </w:pPr>
    <w:rPr>
      <w:rFonts w:ascii="Times New Roman" w:hAnsi="Times New Roman" w:eastAsia="宋体" w:cs="Times New Roman"/>
      <w:kern w:val="2"/>
      <w:sz w:val="28"/>
      <w:szCs w:val="24"/>
      <w:lang w:val="en-US" w:eastAsia="zh-CN" w:bidi="ar-SA"/>
    </w:rPr>
  </w:style>
  <w:style w:type="paragraph" w:styleId="18">
    <w:name w:val="Normal (Web)"/>
    <w:autoRedefine/>
    <w:qFormat/>
    <w:uiPriority w:val="99"/>
    <w:pPr>
      <w:widowControl/>
      <w:spacing w:before="100" w:beforeAutospacing="1" w:after="100" w:afterAutospacing="1"/>
      <w:jc w:val="left"/>
    </w:pPr>
    <w:rPr>
      <w:rFonts w:ascii="宋体" w:hAnsi="宋体" w:eastAsia="宋体" w:cs="宋体"/>
      <w:kern w:val="0"/>
      <w:sz w:val="24"/>
      <w:szCs w:val="24"/>
      <w:lang w:val="en-US" w:eastAsia="zh-CN" w:bidi="ar-SA"/>
    </w:rPr>
  </w:style>
  <w:style w:type="paragraph" w:styleId="19">
    <w:name w:val="Body Text First Indent 2"/>
    <w:basedOn w:val="10"/>
    <w:qFormat/>
    <w:uiPriority w:val="99"/>
    <w:pPr>
      <w:ind w:firstLine="420"/>
    </w:pPr>
  </w:style>
  <w:style w:type="table" w:styleId="21">
    <w:name w:val="Table Grid"/>
    <w:basedOn w:val="2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basedOn w:val="22"/>
    <w:autoRedefine/>
    <w:qFormat/>
    <w:uiPriority w:val="0"/>
  </w:style>
  <w:style w:type="paragraph" w:customStyle="1" w:styleId="24">
    <w:name w:val="&quot;footnote text&quot;"/>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
    <w:name w:val="目录1"/>
    <w:basedOn w:val="5"/>
    <w:autoRedefine/>
    <w:qFormat/>
    <w:uiPriority w:val="0"/>
    <w:pPr>
      <w:spacing w:line="240" w:lineRule="auto"/>
      <w:ind w:left="0" w:leftChars="0" w:firstLine="0" w:firstLineChars="0"/>
    </w:pPr>
  </w:style>
  <w:style w:type="paragraph" w:customStyle="1" w:styleId="26">
    <w:name w:val="目录2"/>
    <w:basedOn w:val="5"/>
    <w:autoRedefine/>
    <w:qFormat/>
    <w:uiPriority w:val="0"/>
    <w:pPr>
      <w:spacing w:line="240" w:lineRule="auto"/>
      <w:ind w:firstLine="0" w:firstLineChars="0"/>
    </w:pPr>
    <w:rPr>
      <w:sz w:val="24"/>
    </w:rPr>
  </w:style>
  <w:style w:type="paragraph" w:customStyle="1" w:styleId="27">
    <w:name w:val="目录3"/>
    <w:basedOn w:val="5"/>
    <w:autoRedefine/>
    <w:qFormat/>
    <w:uiPriority w:val="0"/>
    <w:pPr>
      <w:spacing w:line="240" w:lineRule="auto"/>
      <w:ind w:left="1120" w:leftChars="400" w:firstLine="0" w:firstLineChars="0"/>
    </w:pPr>
    <w:rPr>
      <w:sz w:val="21"/>
    </w:rPr>
  </w:style>
  <w:style w:type="paragraph" w:customStyle="1" w:styleId="28">
    <w:name w:val="样式 小四 首行缩进:  0.85 厘米 行距: 固定值 22 磅"/>
    <w:autoRedefine/>
    <w:qFormat/>
    <w:uiPriority w:val="0"/>
    <w:pPr>
      <w:widowControl/>
      <w:spacing w:line="440" w:lineRule="exact"/>
      <w:ind w:firstLine="480" w:firstLineChars="200"/>
      <w:jc w:val="both"/>
    </w:pPr>
    <w:rPr>
      <w:rFonts w:ascii="新宋体" w:hAnsi="新宋体" w:eastAsia="新宋体" w:cs="新宋体"/>
      <w:kern w:val="0"/>
      <w:sz w:val="24"/>
      <w:szCs w:val="20"/>
      <w:lang w:val="en-US" w:eastAsia="en-US" w:bidi="en-US"/>
    </w:rPr>
  </w:style>
  <w:style w:type="character" w:customStyle="1" w:styleId="29">
    <w:name w:val="标题 1 Char1"/>
    <w:link w:val="2"/>
    <w:autoRedefine/>
    <w:qFormat/>
    <w:uiPriority w:val="0"/>
    <w:rPr>
      <w:rFonts w:ascii="Times New Roman" w:hAnsi="Times New Roman" w:eastAsia="黑体"/>
      <w:b/>
      <w:kern w:val="44"/>
      <w:sz w:val="32"/>
    </w:rPr>
  </w:style>
  <w:style w:type="paragraph" w:customStyle="1" w:styleId="30">
    <w:name w:val="Char1"/>
    <w:basedOn w:val="1"/>
    <w:autoRedefine/>
    <w:qFormat/>
    <w:uiPriority w:val="0"/>
    <w:pPr>
      <w:autoSpaceDE w:val="0"/>
      <w:autoSpaceDN w:val="0"/>
      <w:adjustRightInd w:val="0"/>
      <w:snapToGrid w:val="0"/>
      <w:spacing w:before="50" w:after="50"/>
      <w:ind w:firstLine="560" w:firstLineChars="200"/>
    </w:pPr>
    <w:rPr>
      <w:sz w:val="21"/>
      <w:szCs w:val="20"/>
    </w:rPr>
  </w:style>
  <w:style w:type="character" w:customStyle="1" w:styleId="31">
    <w:name w:val="正文文本 + 10.5 pt6"/>
    <w:autoRedefine/>
    <w:qFormat/>
    <w:uiPriority w:val="0"/>
    <w:rPr>
      <w:rFonts w:ascii="宋体" w:hAnsi="宋体" w:eastAsia="宋体" w:cs="宋体"/>
      <w:kern w:val="2"/>
      <w:sz w:val="21"/>
      <w:szCs w:val="21"/>
      <w:u w:val="none"/>
      <w:lang w:val="en-US" w:eastAsia="zh-CN" w:bidi="ar-SA"/>
    </w:rPr>
  </w:style>
  <w:style w:type="character" w:customStyle="1" w:styleId="32">
    <w:name w:val="正文文本_"/>
    <w:link w:val="9"/>
    <w:autoRedefine/>
    <w:qFormat/>
    <w:uiPriority w:val="0"/>
    <w:rPr>
      <w:kern w:val="2"/>
      <w:sz w:val="28"/>
      <w:szCs w:val="24"/>
      <w:lang w:val="en-US" w:eastAsia="zh-CN" w:bidi="ar-SA"/>
    </w:rPr>
  </w:style>
  <w:style w:type="character" w:customStyle="1" w:styleId="33">
    <w:name w:val="正文文本 + Batang19"/>
    <w:autoRedefine/>
    <w:qFormat/>
    <w:uiPriority w:val="0"/>
    <w:rPr>
      <w:rFonts w:ascii="Batang" w:hAnsi="宋体" w:eastAsia="Batang" w:cs="Batang"/>
      <w:kern w:val="2"/>
      <w:sz w:val="19"/>
      <w:szCs w:val="19"/>
      <w:u w:val="none"/>
      <w:lang w:val="en-US" w:eastAsia="en-US" w:bidi="ar-SA"/>
    </w:rPr>
  </w:style>
  <w:style w:type="character" w:customStyle="1" w:styleId="34">
    <w:name w:val="正文文本 + MS Gothic"/>
    <w:autoRedefine/>
    <w:qFormat/>
    <w:uiPriority w:val="0"/>
    <w:rPr>
      <w:rFonts w:ascii="MS Gothic" w:hAnsi="宋体" w:eastAsia="MS Gothic" w:cs="MS Gothic"/>
      <w:spacing w:val="-20"/>
      <w:kern w:val="2"/>
      <w:sz w:val="8"/>
      <w:szCs w:val="8"/>
      <w:u w:val="none"/>
      <w:lang w:val="en-US" w:eastAsia="zh-CN" w:bidi="ar-SA"/>
    </w:rPr>
  </w:style>
  <w:style w:type="character" w:customStyle="1" w:styleId="35">
    <w:name w:val="正文文本 + Batang18"/>
    <w:autoRedefine/>
    <w:qFormat/>
    <w:uiPriority w:val="0"/>
    <w:rPr>
      <w:rFonts w:ascii="Batang" w:hAnsi="宋体" w:eastAsia="Batang" w:cs="Batang"/>
      <w:kern w:val="2"/>
      <w:sz w:val="19"/>
      <w:szCs w:val="19"/>
      <w:u w:val="none"/>
      <w:lang w:val="en-US" w:eastAsia="zh-CN" w:bidi="ar-SA"/>
    </w:rPr>
  </w:style>
  <w:style w:type="table" w:customStyle="1" w:styleId="36">
    <w:name w:val="Table Normal"/>
    <w:autoRedefine/>
    <w:semiHidden/>
    <w:unhideWhenUsed/>
    <w:qFormat/>
    <w:uiPriority w:val="0"/>
    <w:tblPr>
      <w:tblCellMar>
        <w:top w:w="0" w:type="dxa"/>
        <w:left w:w="0" w:type="dxa"/>
        <w:bottom w:w="0" w:type="dxa"/>
        <w:right w:w="0" w:type="dxa"/>
      </w:tblCellMar>
    </w:tblPr>
  </w:style>
  <w:style w:type="paragraph" w:customStyle="1" w:styleId="37">
    <w:name w:val="Table Text"/>
    <w:basedOn w:val="1"/>
    <w:autoRedefine/>
    <w:semiHidden/>
    <w:qFormat/>
    <w:uiPriority w:val="0"/>
    <w:rPr>
      <w:rFonts w:ascii="微软雅黑" w:hAnsi="微软雅黑" w:eastAsia="微软雅黑" w:cs="微软雅黑"/>
      <w:sz w:val="28"/>
      <w:szCs w:val="28"/>
      <w:lang w:val="en-US" w:eastAsia="en-US" w:bidi="ar-SA"/>
    </w:rPr>
  </w:style>
  <w:style w:type="character" w:customStyle="1" w:styleId="38">
    <w:name w:val="标题 3 Char"/>
    <w:link w:val="4"/>
    <w:qFormat/>
    <w:uiPriority w:val="0"/>
    <w:rPr>
      <w:rFonts w:eastAsia="黑体"/>
      <w:b/>
    </w:rPr>
  </w:style>
  <w:style w:type="paragraph" w:customStyle="1" w:styleId="39">
    <w:name w:val="样式 样式 样式 正文文本缩进 + 首行缩进:  2 字符 + 图案: 15% (自动设置 前景 白色 背景) + 图案: 清除"/>
    <w:qFormat/>
    <w:uiPriority w:val="0"/>
    <w:pPr>
      <w:widowControl/>
      <w:tabs>
        <w:tab w:val="left" w:pos="1155"/>
        <w:tab w:val="center" w:pos="4153"/>
      </w:tabs>
      <w:spacing w:line="360" w:lineRule="auto"/>
      <w:ind w:firstLine="560" w:firstLineChars="200"/>
      <w:jc w:val="both"/>
    </w:pPr>
    <w:rPr>
      <w:rFonts w:ascii="Times New Roman" w:hAnsi="Times New Roman" w:eastAsia="宋体" w:cs="宋体"/>
      <w:color w:val="000000"/>
      <w:kern w:val="0"/>
      <w:sz w:val="28"/>
      <w:szCs w:val="28"/>
      <w:lang w:val="en-US" w:eastAsia="zh-CN" w:bidi="ar-SA"/>
    </w:rPr>
  </w:style>
  <w:style w:type="paragraph" w:customStyle="1" w:styleId="40">
    <w:name w:val="样式 标题 2"/>
    <w:basedOn w:val="3"/>
    <w:qFormat/>
    <w:uiPriority w:val="0"/>
    <w:pPr>
      <w:spacing w:before="50" w:after="50"/>
      <w:jc w:val="both"/>
    </w:pPr>
    <w:rPr>
      <w:szCs w:val="28"/>
    </w:rPr>
  </w:style>
  <w:style w:type="character" w:customStyle="1" w:styleId="41">
    <w:name w:val="正文文本 Char"/>
    <w:link w:val="9"/>
    <w:qFormat/>
    <w:uiPriority w:val="0"/>
    <w:rPr>
      <w:rFonts w:ascii="仿宋_GB2312" w:hAnsi="宋体" w:eastAsia="仿宋_GB2312" w:cs="仿宋_GB2312"/>
      <w:szCs w:val="21"/>
    </w:rPr>
  </w:style>
  <w:style w:type="paragraph" w:customStyle="1" w:styleId="42">
    <w:name w:val="Table Paragraph"/>
    <w:basedOn w:val="1"/>
    <w:qFormat/>
    <w:uiPriority w:val="1"/>
    <w:rPr>
      <w:rFonts w:ascii="宋体" w:hAnsi="宋体" w:eastAsia="宋体" w:cs="宋体"/>
      <w:lang w:val="zh-CN" w:eastAsia="zh-CN" w:bidi="zh-CN"/>
    </w:rPr>
  </w:style>
  <w:style w:type="paragraph" w:customStyle="1" w:styleId="43">
    <w:name w:val="表格中文字"/>
    <w:basedOn w:val="44"/>
    <w:qFormat/>
    <w:uiPriority w:val="0"/>
    <w:pPr>
      <w:adjustRightInd w:val="0"/>
      <w:snapToGrid w:val="0"/>
      <w:spacing w:line="360" w:lineRule="auto"/>
      <w:ind w:firstLine="0" w:firstLineChars="0"/>
      <w:jc w:val="center"/>
    </w:pPr>
    <w:rPr>
      <w:rFonts w:ascii="Times New Roman" w:hAnsi="Times New Roman" w:eastAsia="宋体"/>
      <w:kern w:val="18"/>
      <w:sz w:val="21"/>
      <w:szCs w:val="21"/>
    </w:rPr>
  </w:style>
  <w:style w:type="paragraph" w:customStyle="1" w:styleId="44">
    <w:name w:val="表中文字"/>
    <w:basedOn w:val="1"/>
    <w:qFormat/>
    <w:uiPriority w:val="0"/>
    <w:pPr>
      <w:spacing w:before="60" w:after="60" w:line="360" w:lineRule="auto"/>
      <w:jc w:val="center"/>
    </w:pPr>
    <w:rPr>
      <w:sz w:val="24"/>
      <w:szCs w:val="20"/>
    </w:rPr>
  </w:style>
  <w:style w:type="paragraph" w:customStyle="1" w:styleId="45">
    <w:name w:val="表格文本"/>
    <w:qFormat/>
    <w:uiPriority w:val="0"/>
    <w:pPr>
      <w:widowControl w:val="0"/>
      <w:ind w:leftChars="0" w:firstLine="0" w:firstLineChars="0"/>
      <w:jc w:val="center"/>
    </w:pPr>
    <w:rPr>
      <w:rFonts w:ascii="Times New Roman" w:hAnsi="Times New Roman" w:eastAsia="宋体" w:cs="Times New Roman"/>
      <w:bCs/>
      <w:kern w:val="2"/>
      <w:sz w:val="21"/>
      <w:szCs w:val="21"/>
      <w:lang w:val="en-US" w:eastAsia="zh-CN" w:bidi="ar-SA"/>
    </w:rPr>
  </w:style>
  <w:style w:type="paragraph" w:styleId="46">
    <w:name w:val="List Paragraph"/>
    <w:qFormat/>
    <w:uiPriority w:val="0"/>
    <w:pPr>
      <w:widowControl w:val="0"/>
      <w:spacing w:line="600" w:lineRule="exact"/>
      <w:ind w:firstLine="420" w:firstLineChars="200"/>
      <w:jc w:val="both"/>
    </w:pPr>
    <w:rPr>
      <w:rFonts w:ascii="Times New Roman" w:hAnsi="Times New Roman" w:eastAsia="宋体" w:cs="Times New Roman"/>
      <w:kern w:val="2"/>
      <w:sz w:val="28"/>
      <w:szCs w:val="22"/>
      <w:lang w:val="en-US" w:eastAsia="zh-CN" w:bidi="ar-SA"/>
    </w:rPr>
  </w:style>
  <w:style w:type="paragraph" w:customStyle="1" w:styleId="47">
    <w:name w:val="表格内容"/>
    <w:next w:val="1"/>
    <w:qFormat/>
    <w:uiPriority w:val="0"/>
    <w:pPr>
      <w:widowControl w:val="0"/>
      <w:suppressLineNumbers/>
      <w:suppressAutoHyphens/>
      <w:adjustRightInd w:val="0"/>
      <w:spacing w:before="50" w:beforeLines="50" w:line="240" w:lineRule="auto"/>
      <w:ind w:firstLine="0" w:firstLineChars="0"/>
      <w:jc w:val="center"/>
      <w:textAlignment w:val="baseline"/>
    </w:pPr>
    <w:rPr>
      <w:rFonts w:hint="eastAsia" w:ascii="Times New Roman" w:hAnsi="Times New Roman" w:eastAsia="宋体" w:cs="Times New Roman"/>
      <w:b/>
      <w:kern w:val="20481"/>
      <w:sz w:val="24"/>
      <w:szCs w:val="24"/>
      <w:lang w:val="en-US" w:eastAsia="zh-CN" w:bidi="ar-SA"/>
    </w:rPr>
  </w:style>
  <w:style w:type="paragraph" w:customStyle="1" w:styleId="48">
    <w:name w:val="表格表头"/>
    <w:next w:val="43"/>
    <w:qFormat/>
    <w:uiPriority w:val="0"/>
    <w:pPr>
      <w:widowControl w:val="0"/>
      <w:adjustRightInd w:val="0"/>
      <w:spacing w:before="50" w:beforeLines="50" w:line="240" w:lineRule="auto"/>
      <w:ind w:firstLine="0" w:firstLineChars="0"/>
      <w:jc w:val="center"/>
      <w:textAlignment w:val="baseline"/>
    </w:pPr>
    <w:rPr>
      <w:rFonts w:hint="eastAsia" w:ascii="Times New Roman" w:hAnsi="Times New Roman" w:eastAsia="宋体" w:cs="Times New Roman"/>
      <w:b/>
      <w:kern w:val="2"/>
      <w:sz w:val="24"/>
      <w:szCs w:val="24"/>
      <w:lang w:val="en-US" w:eastAsia="zh-CN" w:bidi="ar-SA"/>
    </w:rPr>
  </w:style>
  <w:style w:type="paragraph" w:customStyle="1" w:styleId="49">
    <w:name w:val="样式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0">
    <w:name w:val="表格内的文字"/>
    <w:qFormat/>
    <w:uiPriority w:val="0"/>
    <w:pPr>
      <w:jc w:val="center"/>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5.jpe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87</Pages>
  <Words>11330</Words>
  <Characters>13447</Characters>
  <Lines>0</Lines>
  <Paragraphs>0</Paragraphs>
  <TotalTime>0</TotalTime>
  <ScaleCrop>false</ScaleCrop>
  <LinksUpToDate>false</LinksUpToDate>
  <CharactersWithSpaces>14653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2023-03-13T03:26:00Z</dcterms:created>
  <dc:creator>Administrator</dc:creator>
  <cp:lastModifiedBy>爱哭的男孩</cp:lastModifiedBy>
  <cp:lastPrinted>2025-06-10T06:45:00Z</cp:lastPrinted>
  <dcterms:modified xsi:type="dcterms:W3CDTF">2025-12-05T01:15:11Z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B1C61FD6A7CB416B823A93B2F1477084</vt:lpwstr>
  </property>
  <property fmtid="{D5CDD505-2E9C-101B-9397-08002B2CF9AE}" pid="4" name="KSOTemplateDocerSaveRecord">
    <vt:lpwstr>eyJoZGlkIjoiZDI0Njk3ZWQ2ZmQyYmJiOTI3YmFiOTc3MjlkMjYxZmEiLCJ1c2VySWQiOiI0MDI5OTA3NDkifQ==</vt:lpwstr>
  </property>
</Properties>
</file>